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AD948C" w14:textId="77777777" w:rsidR="006C0C14" w:rsidRDefault="00072495">
      <w:pPr>
        <w:pStyle w:val="Standard"/>
        <w:spacing w:line="400" w:lineRule="exact"/>
        <w:jc w:val="center"/>
      </w:pPr>
      <w:r>
        <w:rPr>
          <w:rStyle w:val="WW-"/>
          <w:rFonts w:ascii="新細明體" w:eastAsia="新細明體" w:hAnsi="新細明體" w:cs="標楷體"/>
          <w:b/>
          <w:bCs/>
          <w:color w:val="000000"/>
          <w:sz w:val="36"/>
          <w:szCs w:val="36"/>
        </w:rPr>
        <w:t>考古遺址發掘資格條件審查辦法修正條文</w:t>
      </w:r>
    </w:p>
    <w:p w14:paraId="09AFAC27" w14:textId="078A82AC" w:rsidR="006C0C14" w:rsidRPr="002C2944" w:rsidRDefault="00072495" w:rsidP="002C2944">
      <w:pPr>
        <w:pStyle w:val="Standard"/>
        <w:spacing w:before="120" w:line="300" w:lineRule="exact"/>
        <w:rPr>
          <w:szCs w:val="24"/>
        </w:rPr>
      </w:pPr>
      <w:r w:rsidRPr="002C2944">
        <w:rPr>
          <w:rStyle w:val="WW-"/>
          <w:rFonts w:ascii="新細明體" w:eastAsia="新細明體" w:hAnsi="新細明體" w:cs="標楷體"/>
          <w:color w:val="000000"/>
          <w:szCs w:val="24"/>
        </w:rPr>
        <w:t>修正日期：中華民國110年1月4日</w:t>
      </w:r>
    </w:p>
    <w:p w14:paraId="67C3AA38" w14:textId="77777777" w:rsidR="003462EE" w:rsidRPr="002C2944" w:rsidRDefault="003462EE" w:rsidP="002C2944">
      <w:pPr>
        <w:pStyle w:val="Standard"/>
        <w:spacing w:before="120" w:line="300" w:lineRule="exact"/>
        <w:rPr>
          <w:szCs w:val="24"/>
        </w:rPr>
      </w:pPr>
    </w:p>
    <w:p w14:paraId="336BFF2E" w14:textId="77777777" w:rsidR="006C0C14" w:rsidRPr="002C2944" w:rsidRDefault="00072495" w:rsidP="00E77883">
      <w:pPr>
        <w:pStyle w:val="Standard"/>
        <w:widowControl/>
        <w:spacing w:line="360" w:lineRule="exact"/>
        <w:ind w:left="960" w:hanging="960"/>
        <w:rPr>
          <w:szCs w:val="24"/>
        </w:rPr>
      </w:pPr>
      <w:r w:rsidRPr="002C2944">
        <w:rPr>
          <w:rStyle w:val="WW-"/>
          <w:rFonts w:ascii="新細明體" w:eastAsia="新細明體" w:hAnsi="新細明體" w:cs="新細明體, PMingLiU"/>
          <w:szCs w:val="24"/>
        </w:rPr>
        <w:t xml:space="preserve">第1條　　</w:t>
      </w:r>
    </w:p>
    <w:p w14:paraId="5129453A" w14:textId="77777777" w:rsidR="006C0C14" w:rsidRPr="002C2944" w:rsidRDefault="00072495" w:rsidP="00E77883">
      <w:pPr>
        <w:pStyle w:val="Standard"/>
        <w:widowControl/>
        <w:spacing w:line="360" w:lineRule="exact"/>
        <w:ind w:left="1276" w:hanging="960"/>
        <w:rPr>
          <w:szCs w:val="24"/>
        </w:rPr>
      </w:pPr>
      <w:r w:rsidRPr="002C2944">
        <w:rPr>
          <w:rStyle w:val="WW-"/>
          <w:rFonts w:ascii="新細明體" w:eastAsia="新細明體" w:hAnsi="新細明體" w:cs="新細明體, PMingLiU"/>
          <w:szCs w:val="24"/>
        </w:rPr>
        <w:t>本辦法依文化資產保存法(以下簡稱本法)第五十一條第四項訂定之。</w:t>
      </w:r>
    </w:p>
    <w:p w14:paraId="3751A0C8" w14:textId="77777777" w:rsidR="006C0C14" w:rsidRPr="002C2944" w:rsidRDefault="00072495" w:rsidP="00E77883">
      <w:pPr>
        <w:pStyle w:val="Standard"/>
        <w:widowControl/>
        <w:spacing w:before="120" w:line="360" w:lineRule="exact"/>
        <w:ind w:left="958" w:hanging="958"/>
        <w:jc w:val="both"/>
        <w:rPr>
          <w:szCs w:val="24"/>
        </w:rPr>
      </w:pPr>
      <w:r w:rsidRPr="002C2944">
        <w:rPr>
          <w:rStyle w:val="WW-"/>
          <w:rFonts w:ascii="新細明體" w:eastAsia="新細明體" w:hAnsi="新細明體" w:cs="新細明體, PMingLiU"/>
          <w:szCs w:val="24"/>
        </w:rPr>
        <w:t xml:space="preserve">第2條　　</w:t>
      </w:r>
    </w:p>
    <w:p w14:paraId="5191E2E9" w14:textId="77777777" w:rsidR="006C0C14" w:rsidRPr="002C2944" w:rsidRDefault="00072495" w:rsidP="00E77883">
      <w:pPr>
        <w:pStyle w:val="Standard"/>
        <w:widowControl/>
        <w:spacing w:line="360" w:lineRule="exact"/>
        <w:ind w:left="283"/>
        <w:jc w:val="both"/>
        <w:rPr>
          <w:szCs w:val="24"/>
        </w:rPr>
      </w:pPr>
      <w:r w:rsidRPr="002C2944">
        <w:rPr>
          <w:rStyle w:val="WW-"/>
          <w:rFonts w:ascii="新細明體" w:eastAsia="新細明體" w:hAnsi="新細明體" w:cs="新細明體, PMingLiU"/>
          <w:szCs w:val="24"/>
        </w:rPr>
        <w:t>本辦法適用於中華民國領土之考古遺址發掘。</w:t>
      </w:r>
    </w:p>
    <w:p w14:paraId="64BADEB5" w14:textId="77777777" w:rsidR="006C0C14" w:rsidRPr="002C2944" w:rsidRDefault="00072495" w:rsidP="00E77883">
      <w:pPr>
        <w:pStyle w:val="Standard"/>
        <w:widowControl/>
        <w:spacing w:line="360" w:lineRule="exact"/>
        <w:ind w:left="283"/>
        <w:jc w:val="both"/>
        <w:rPr>
          <w:szCs w:val="24"/>
        </w:rPr>
      </w:pPr>
      <w:r w:rsidRPr="002C2944">
        <w:rPr>
          <w:rStyle w:val="WW-"/>
          <w:rFonts w:ascii="新細明體" w:eastAsia="新細明體" w:hAnsi="新細明體" w:cs="新細明體, PMingLiU"/>
          <w:szCs w:val="24"/>
        </w:rPr>
        <w:t>前項發掘，包括考古遺址發掘前之試掘、探</w:t>
      </w:r>
      <w:proofErr w:type="gramStart"/>
      <w:r w:rsidRPr="002C2944">
        <w:rPr>
          <w:rStyle w:val="WW-"/>
          <w:rFonts w:ascii="新細明體" w:eastAsia="新細明體" w:hAnsi="新細明體" w:cs="新細明體, PMingLiU"/>
          <w:szCs w:val="24"/>
        </w:rPr>
        <w:t>勘</w:t>
      </w:r>
      <w:proofErr w:type="gramEnd"/>
      <w:r w:rsidRPr="002C2944">
        <w:rPr>
          <w:rStyle w:val="WW-"/>
          <w:rFonts w:ascii="新細明體" w:eastAsia="新細明體" w:hAnsi="新細明體" w:cs="新細明體, PMingLiU"/>
          <w:szCs w:val="24"/>
        </w:rPr>
        <w:t>，及基於學術研究、保護考古遺址等目的或其他經主管機關判斷應提送審議之考古發掘。</w:t>
      </w:r>
    </w:p>
    <w:p w14:paraId="6FFEAC54" w14:textId="77777777" w:rsidR="006C0C14" w:rsidRPr="002C2944" w:rsidRDefault="00072495" w:rsidP="00E77883">
      <w:pPr>
        <w:pStyle w:val="Standard"/>
        <w:widowControl/>
        <w:spacing w:before="120" w:line="360" w:lineRule="exact"/>
        <w:ind w:left="958" w:hanging="958"/>
        <w:jc w:val="both"/>
        <w:rPr>
          <w:szCs w:val="24"/>
        </w:rPr>
      </w:pPr>
      <w:r w:rsidRPr="002C2944">
        <w:rPr>
          <w:rStyle w:val="WW-"/>
          <w:rFonts w:ascii="新細明體" w:eastAsia="新細明體" w:hAnsi="新細明體" w:cs="新細明體, PMingLiU"/>
          <w:szCs w:val="24"/>
        </w:rPr>
        <w:t xml:space="preserve">第3條　　</w:t>
      </w:r>
    </w:p>
    <w:p w14:paraId="182605E8" w14:textId="77777777" w:rsidR="006C0C14" w:rsidRPr="002C2944" w:rsidRDefault="00072495" w:rsidP="00E77883">
      <w:pPr>
        <w:pStyle w:val="Standard"/>
        <w:widowControl/>
        <w:spacing w:line="360" w:lineRule="exact"/>
        <w:ind w:left="283"/>
        <w:jc w:val="both"/>
        <w:rPr>
          <w:szCs w:val="24"/>
        </w:rPr>
      </w:pPr>
      <w:r w:rsidRPr="002C2944">
        <w:rPr>
          <w:rStyle w:val="WW-"/>
          <w:rFonts w:ascii="新細明體" w:eastAsia="新細明體" w:hAnsi="新細明體" w:cs="新細明體, PMingLiU"/>
          <w:szCs w:val="24"/>
        </w:rPr>
        <w:t>申請發掘考古遺址，應經審議會審議，並由主管機關核准。</w:t>
      </w:r>
    </w:p>
    <w:p w14:paraId="05BD64A2" w14:textId="77777777" w:rsidR="006C0C14" w:rsidRPr="002C2944" w:rsidRDefault="00072495" w:rsidP="00E77883">
      <w:pPr>
        <w:pStyle w:val="Standard"/>
        <w:widowControl/>
        <w:spacing w:line="360" w:lineRule="exact"/>
        <w:ind w:left="283"/>
        <w:jc w:val="both"/>
        <w:rPr>
          <w:szCs w:val="24"/>
        </w:rPr>
      </w:pPr>
      <w:r w:rsidRPr="002C2944">
        <w:rPr>
          <w:rStyle w:val="WW-"/>
          <w:rFonts w:ascii="新細明體" w:eastAsia="新細明體" w:hAnsi="新細明體" w:cs="新細明體, PMingLiU"/>
          <w:szCs w:val="24"/>
        </w:rPr>
        <w:t>前項審議，應就</w:t>
      </w:r>
      <w:r w:rsidRPr="00D73795">
        <w:rPr>
          <w:rStyle w:val="WW-"/>
          <w:rFonts w:ascii="新細明體" w:eastAsia="新細明體" w:hAnsi="新細明體" w:cs="新細明體, PMingLiU"/>
          <w:b/>
          <w:bCs/>
          <w:szCs w:val="24"/>
          <w:shd w:val="pct15" w:color="auto" w:fill="FFFFFF"/>
        </w:rPr>
        <w:t>發掘者</w:t>
      </w:r>
      <w:r w:rsidRPr="002C2944">
        <w:rPr>
          <w:rStyle w:val="WW-"/>
          <w:rFonts w:ascii="新細明體" w:eastAsia="新細明體" w:hAnsi="新細明體" w:cs="新細明體, PMingLiU"/>
          <w:szCs w:val="24"/>
        </w:rPr>
        <w:t>資格、發掘計畫書及考古遺址保護相關事項為之。</w:t>
      </w:r>
    </w:p>
    <w:p w14:paraId="4DCA5C0A" w14:textId="77777777" w:rsidR="006C0C14" w:rsidRPr="002C2944" w:rsidRDefault="00072495" w:rsidP="00E77883">
      <w:pPr>
        <w:pStyle w:val="Standard"/>
        <w:widowControl/>
        <w:spacing w:before="120" w:line="360" w:lineRule="exact"/>
        <w:ind w:left="958" w:hanging="958"/>
        <w:jc w:val="both"/>
        <w:rPr>
          <w:szCs w:val="24"/>
        </w:rPr>
      </w:pPr>
      <w:r w:rsidRPr="002C2944">
        <w:rPr>
          <w:rStyle w:val="WW-"/>
          <w:rFonts w:ascii="新細明體" w:eastAsia="新細明體" w:hAnsi="新細明體" w:cs="新細明體, PMingLiU"/>
          <w:szCs w:val="24"/>
        </w:rPr>
        <w:t xml:space="preserve">第4條　　</w:t>
      </w:r>
    </w:p>
    <w:p w14:paraId="6739C685" w14:textId="77777777" w:rsidR="006C0C14" w:rsidRPr="002C2944" w:rsidRDefault="00072495" w:rsidP="00E77883">
      <w:pPr>
        <w:pStyle w:val="Standard"/>
        <w:widowControl/>
        <w:spacing w:line="360" w:lineRule="exact"/>
        <w:ind w:left="1276" w:hanging="960"/>
        <w:jc w:val="both"/>
        <w:rPr>
          <w:szCs w:val="24"/>
        </w:rPr>
      </w:pPr>
      <w:r w:rsidRPr="002C2944">
        <w:rPr>
          <w:rStyle w:val="WW-"/>
          <w:rFonts w:ascii="新細明體" w:eastAsia="新細明體" w:hAnsi="新細明體" w:cs="新細明體, PMingLiU"/>
          <w:szCs w:val="24"/>
        </w:rPr>
        <w:t>依本法第五十一條第一項申請發掘考古遺址之考古學者專家，應具備下</w:t>
      </w:r>
    </w:p>
    <w:p w14:paraId="2E81C2D2" w14:textId="77777777" w:rsidR="006C0C14" w:rsidRPr="002C2944" w:rsidRDefault="00072495" w:rsidP="00E77883">
      <w:pPr>
        <w:pStyle w:val="Standard"/>
        <w:widowControl/>
        <w:spacing w:line="360" w:lineRule="exact"/>
        <w:ind w:left="1276" w:hanging="960"/>
        <w:jc w:val="both"/>
        <w:rPr>
          <w:szCs w:val="24"/>
        </w:rPr>
      </w:pPr>
      <w:r w:rsidRPr="002C2944">
        <w:rPr>
          <w:rStyle w:val="WW-"/>
          <w:rFonts w:ascii="新細明體" w:eastAsia="新細明體" w:hAnsi="新細明體" w:cs="新細明體, PMingLiU"/>
          <w:szCs w:val="24"/>
        </w:rPr>
        <w:t>列資格之</w:t>
      </w:r>
      <w:proofErr w:type="gramStart"/>
      <w:r w:rsidRPr="002C2944">
        <w:rPr>
          <w:rStyle w:val="WW-"/>
          <w:rFonts w:ascii="新細明體" w:eastAsia="新細明體" w:hAnsi="新細明體" w:cs="新細明體, PMingLiU"/>
          <w:szCs w:val="24"/>
        </w:rPr>
        <w:t>一</w:t>
      </w:r>
      <w:proofErr w:type="gramEnd"/>
      <w:r w:rsidRPr="002C2944">
        <w:rPr>
          <w:rStyle w:val="WW-"/>
          <w:rFonts w:ascii="新細明體" w:eastAsia="新細明體" w:hAnsi="新細明體" w:cs="新細明體, PMingLiU"/>
          <w:szCs w:val="24"/>
        </w:rPr>
        <w:t>：</w:t>
      </w:r>
    </w:p>
    <w:p w14:paraId="431BB859" w14:textId="77777777" w:rsidR="006C0C14" w:rsidRPr="002C2944" w:rsidRDefault="00072495" w:rsidP="00E77883">
      <w:pPr>
        <w:pStyle w:val="Standard"/>
        <w:widowControl/>
        <w:numPr>
          <w:ilvl w:val="0"/>
          <w:numId w:val="28"/>
        </w:numPr>
        <w:spacing w:line="360" w:lineRule="exact"/>
        <w:ind w:left="1134" w:hanging="567"/>
        <w:jc w:val="both"/>
        <w:rPr>
          <w:szCs w:val="24"/>
        </w:rPr>
      </w:pPr>
      <w:r w:rsidRPr="00A814E9">
        <w:rPr>
          <w:rStyle w:val="WW-"/>
          <w:rFonts w:ascii="新細明體" w:eastAsia="新細明體" w:hAnsi="新細明體" w:cs="新細明體, PMingLiU"/>
          <w:szCs w:val="24"/>
          <w:shd w:val="pct15" w:color="auto" w:fill="FFFFFF"/>
        </w:rPr>
        <w:t>取得</w:t>
      </w:r>
      <w:r w:rsidRPr="00D73795">
        <w:rPr>
          <w:rStyle w:val="WW-"/>
          <w:rFonts w:ascii="新細明體" w:eastAsia="新細明體" w:hAnsi="新細明體" w:cs="新細明體, PMingLiU"/>
          <w:b/>
          <w:bCs/>
          <w:szCs w:val="24"/>
          <w:shd w:val="pct15" w:color="auto" w:fill="FFFFFF"/>
        </w:rPr>
        <w:t>考古學系、人類學系</w:t>
      </w:r>
      <w:r w:rsidRPr="00A814E9">
        <w:rPr>
          <w:rStyle w:val="WW-"/>
          <w:rFonts w:ascii="新細明體" w:eastAsia="新細明體" w:hAnsi="新細明體" w:cs="新細明體, PMingLiU"/>
          <w:szCs w:val="24"/>
          <w:shd w:val="pct15" w:color="auto" w:fill="FFFFFF"/>
        </w:rPr>
        <w:t>學士學位或</w:t>
      </w:r>
      <w:r w:rsidRPr="00D73795">
        <w:rPr>
          <w:rStyle w:val="WW-"/>
          <w:rFonts w:ascii="新細明體" w:eastAsia="新細明體" w:hAnsi="新細明體" w:cs="新細明體, PMingLiU"/>
          <w:b/>
          <w:bCs/>
          <w:szCs w:val="24"/>
          <w:shd w:val="pct15" w:color="auto" w:fill="FFFFFF"/>
        </w:rPr>
        <w:t>相關學位</w:t>
      </w:r>
      <w:r w:rsidRPr="00A814E9">
        <w:rPr>
          <w:rStyle w:val="WW-"/>
          <w:rFonts w:ascii="新細明體" w:eastAsia="新細明體" w:hAnsi="新細明體" w:cs="新細明體, PMingLiU"/>
          <w:szCs w:val="24"/>
          <w:shd w:val="pct15" w:color="auto" w:fill="FFFFFF"/>
        </w:rPr>
        <w:t>學程後</w:t>
      </w:r>
      <w:r w:rsidRPr="002C2944">
        <w:rPr>
          <w:rStyle w:val="WW-"/>
          <w:rFonts w:ascii="新細明體" w:eastAsia="新細明體" w:hAnsi="新細明體" w:cs="新細明體, PMingLiU"/>
          <w:szCs w:val="24"/>
        </w:rPr>
        <w:t>，從事考古遺址發掘工作五年以上，並發表考古發掘報告二篇以上。</w:t>
      </w:r>
    </w:p>
    <w:p w14:paraId="197C01CE" w14:textId="77777777" w:rsidR="006C0C14" w:rsidRPr="002C2944" w:rsidRDefault="00072495" w:rsidP="00E77883">
      <w:pPr>
        <w:pStyle w:val="Standard"/>
        <w:widowControl/>
        <w:numPr>
          <w:ilvl w:val="0"/>
          <w:numId w:val="28"/>
        </w:numPr>
        <w:spacing w:line="360" w:lineRule="exact"/>
        <w:ind w:left="1134" w:hanging="567"/>
        <w:jc w:val="both"/>
        <w:rPr>
          <w:szCs w:val="24"/>
        </w:rPr>
      </w:pPr>
      <w:r w:rsidRPr="00A814E9">
        <w:rPr>
          <w:rStyle w:val="WW-"/>
          <w:rFonts w:ascii="新細明體" w:eastAsia="新細明體" w:hAnsi="新細明體" w:cs="新細明體, PMingLiU"/>
          <w:szCs w:val="24"/>
          <w:shd w:val="pct15" w:color="auto" w:fill="FFFFFF"/>
        </w:rPr>
        <w:t>取得</w:t>
      </w:r>
      <w:r w:rsidRPr="00D73795">
        <w:rPr>
          <w:rStyle w:val="WW-"/>
          <w:rFonts w:ascii="新細明體" w:eastAsia="新細明體" w:hAnsi="新細明體" w:cs="新細明體, PMingLiU"/>
          <w:b/>
          <w:bCs/>
          <w:szCs w:val="24"/>
          <w:shd w:val="pct15" w:color="auto" w:fill="FFFFFF"/>
        </w:rPr>
        <w:t>考古學系、人類學系</w:t>
      </w:r>
      <w:r w:rsidRPr="00A814E9">
        <w:rPr>
          <w:rStyle w:val="WW-"/>
          <w:rFonts w:ascii="新細明體" w:eastAsia="新細明體" w:hAnsi="新細明體" w:cs="新細明體, PMingLiU"/>
          <w:szCs w:val="24"/>
          <w:shd w:val="pct15" w:color="auto" w:fill="FFFFFF"/>
        </w:rPr>
        <w:t>碩士學位或</w:t>
      </w:r>
      <w:r w:rsidRPr="00D73795">
        <w:rPr>
          <w:rStyle w:val="WW-"/>
          <w:rFonts w:ascii="新細明體" w:eastAsia="新細明體" w:hAnsi="新細明體" w:cs="新細明體, PMingLiU"/>
          <w:b/>
          <w:bCs/>
          <w:szCs w:val="24"/>
          <w:shd w:val="pct15" w:color="auto" w:fill="FFFFFF"/>
        </w:rPr>
        <w:t>相關學位</w:t>
      </w:r>
      <w:r w:rsidRPr="00A814E9">
        <w:rPr>
          <w:rStyle w:val="WW-"/>
          <w:rFonts w:ascii="新細明體" w:eastAsia="新細明體" w:hAnsi="新細明體" w:cs="新細明體, PMingLiU"/>
          <w:szCs w:val="24"/>
          <w:shd w:val="pct15" w:color="auto" w:fill="FFFFFF"/>
        </w:rPr>
        <w:t>學程後</w:t>
      </w:r>
      <w:r w:rsidRPr="002C2944">
        <w:rPr>
          <w:rStyle w:val="WW-"/>
          <w:rFonts w:ascii="新細明體" w:eastAsia="新細明體" w:hAnsi="新細明體" w:cs="新細明體, PMingLiU"/>
          <w:szCs w:val="24"/>
        </w:rPr>
        <w:t>，從事考古遺址發掘工作三年以上，並發表考古發掘報告一篇以上。</w:t>
      </w:r>
    </w:p>
    <w:p w14:paraId="455DFCA6" w14:textId="77777777" w:rsidR="006C0C14" w:rsidRPr="002C2944" w:rsidRDefault="00072495" w:rsidP="00E77883">
      <w:pPr>
        <w:pStyle w:val="Standard"/>
        <w:widowControl/>
        <w:numPr>
          <w:ilvl w:val="0"/>
          <w:numId w:val="28"/>
        </w:numPr>
        <w:spacing w:line="360" w:lineRule="exact"/>
        <w:ind w:left="1134" w:hanging="567"/>
        <w:jc w:val="both"/>
        <w:rPr>
          <w:szCs w:val="24"/>
        </w:rPr>
      </w:pPr>
      <w:r w:rsidRPr="00A814E9">
        <w:rPr>
          <w:rStyle w:val="WW-"/>
          <w:rFonts w:ascii="新細明體" w:eastAsia="新細明體" w:hAnsi="新細明體" w:cs="新細明體, PMingLiU"/>
          <w:szCs w:val="24"/>
          <w:shd w:val="pct15" w:color="auto" w:fill="FFFFFF"/>
        </w:rPr>
        <w:t>取得</w:t>
      </w:r>
      <w:r w:rsidRPr="00D73795">
        <w:rPr>
          <w:rStyle w:val="WW-"/>
          <w:rFonts w:ascii="新細明體" w:eastAsia="新細明體" w:hAnsi="新細明體" w:cs="新細明體, PMingLiU"/>
          <w:b/>
          <w:bCs/>
          <w:szCs w:val="24"/>
          <w:shd w:val="pct15" w:color="auto" w:fill="FFFFFF"/>
        </w:rPr>
        <w:t>考古學系、人類學系博士學位或相關學位</w:t>
      </w:r>
      <w:r w:rsidRPr="00A814E9">
        <w:rPr>
          <w:rStyle w:val="WW-"/>
          <w:rFonts w:ascii="新細明體" w:eastAsia="新細明體" w:hAnsi="新細明體" w:cs="新細明體, PMingLiU"/>
          <w:szCs w:val="24"/>
          <w:shd w:val="pct15" w:color="auto" w:fill="FFFFFF"/>
        </w:rPr>
        <w:t>學程後</w:t>
      </w:r>
      <w:r w:rsidRPr="002C2944">
        <w:rPr>
          <w:rStyle w:val="WW-"/>
          <w:rFonts w:ascii="新細明體" w:eastAsia="新細明體" w:hAnsi="新細明體" w:cs="新細明體, PMingLiU"/>
          <w:szCs w:val="24"/>
        </w:rPr>
        <w:t>，從事考古遺址發掘工作一年以上。</w:t>
      </w:r>
    </w:p>
    <w:p w14:paraId="41B24AB7" w14:textId="77777777" w:rsidR="006C0C14" w:rsidRPr="00D73795" w:rsidRDefault="00072495" w:rsidP="00E77883">
      <w:pPr>
        <w:pStyle w:val="Standard"/>
        <w:widowControl/>
        <w:spacing w:line="360" w:lineRule="exact"/>
        <w:ind w:left="425"/>
        <w:jc w:val="both"/>
        <w:rPr>
          <w:b/>
          <w:bCs/>
          <w:szCs w:val="24"/>
          <w:shd w:val="pct15" w:color="auto" w:fill="FFFFFF"/>
        </w:rPr>
      </w:pPr>
      <w:r w:rsidRPr="00D73795">
        <w:rPr>
          <w:rFonts w:ascii="新細明體" w:eastAsia="新細明體" w:hAnsi="新細明體" w:cs="新細明體, PMingLiU"/>
          <w:b/>
          <w:bCs/>
          <w:szCs w:val="24"/>
          <w:shd w:val="pct15" w:color="auto" w:fill="FFFFFF"/>
        </w:rPr>
        <w:t>前項所稱考古遺址發掘工作，指</w:t>
      </w:r>
      <w:r w:rsidRPr="00D73795">
        <w:rPr>
          <w:rFonts w:ascii="新細明體" w:eastAsia="新細明體" w:hAnsi="新細明體" w:cs="新細明體, PMingLiU"/>
          <w:b/>
          <w:bCs/>
          <w:color w:val="000000"/>
          <w:szCs w:val="24"/>
          <w:shd w:val="pct15" w:color="auto" w:fill="FFFFFF"/>
        </w:rPr>
        <w:t>統籌辦理發掘現場相關工作及發掘結束後出土遺物之整理研究。</w:t>
      </w:r>
    </w:p>
    <w:p w14:paraId="6FE92339" w14:textId="77777777" w:rsidR="006C0C14" w:rsidRPr="002C2944" w:rsidRDefault="00072495" w:rsidP="00E77883">
      <w:pPr>
        <w:pStyle w:val="Standard"/>
        <w:widowControl/>
        <w:spacing w:before="120" w:line="360" w:lineRule="exact"/>
        <w:ind w:left="958" w:hanging="958"/>
        <w:jc w:val="both"/>
        <w:rPr>
          <w:szCs w:val="24"/>
        </w:rPr>
      </w:pPr>
      <w:r w:rsidRPr="002C2944">
        <w:rPr>
          <w:rStyle w:val="WW-"/>
          <w:rFonts w:ascii="新細明體" w:eastAsia="新細明體" w:hAnsi="新細明體" w:cs="新細明體, PMingLiU"/>
          <w:szCs w:val="24"/>
        </w:rPr>
        <w:t xml:space="preserve">第5條　　</w:t>
      </w:r>
    </w:p>
    <w:p w14:paraId="5DF92C41" w14:textId="77777777" w:rsidR="006C0C14" w:rsidRPr="002C2944" w:rsidRDefault="00072495" w:rsidP="00E77883">
      <w:pPr>
        <w:pStyle w:val="Standard"/>
        <w:widowControl/>
        <w:spacing w:line="360" w:lineRule="exact"/>
        <w:ind w:left="851" w:hanging="567"/>
        <w:jc w:val="both"/>
        <w:rPr>
          <w:szCs w:val="24"/>
        </w:rPr>
      </w:pPr>
      <w:r w:rsidRPr="002C2944">
        <w:rPr>
          <w:rStyle w:val="WW-"/>
          <w:rFonts w:ascii="新細明體" w:eastAsia="新細明體" w:hAnsi="新細明體" w:cs="新細明體, PMingLiU"/>
          <w:szCs w:val="24"/>
        </w:rPr>
        <w:t>依本法第五十一條第一項申請發掘考古遺址之學術或專業機構，應具備</w:t>
      </w:r>
    </w:p>
    <w:p w14:paraId="3B239ED8" w14:textId="77777777" w:rsidR="006C0C14" w:rsidRPr="002C2944" w:rsidRDefault="00072495" w:rsidP="00E77883">
      <w:pPr>
        <w:pStyle w:val="Standard"/>
        <w:widowControl/>
        <w:spacing w:line="360" w:lineRule="exact"/>
        <w:ind w:left="851" w:hanging="567"/>
        <w:jc w:val="both"/>
        <w:rPr>
          <w:szCs w:val="24"/>
        </w:rPr>
      </w:pPr>
      <w:r w:rsidRPr="002C2944">
        <w:rPr>
          <w:rStyle w:val="WW-"/>
          <w:rFonts w:ascii="新細明體" w:eastAsia="新細明體" w:hAnsi="新細明體" w:cs="新細明體, PMingLiU"/>
          <w:szCs w:val="24"/>
        </w:rPr>
        <w:t>下列條件：</w:t>
      </w:r>
    </w:p>
    <w:p w14:paraId="60918727" w14:textId="77777777" w:rsidR="006C0C14" w:rsidRPr="002C2944" w:rsidRDefault="00072495" w:rsidP="00E77883">
      <w:pPr>
        <w:pStyle w:val="Standard"/>
        <w:widowControl/>
        <w:numPr>
          <w:ilvl w:val="0"/>
          <w:numId w:val="29"/>
        </w:numPr>
        <w:spacing w:line="360" w:lineRule="exact"/>
        <w:ind w:left="1134" w:hanging="567"/>
        <w:rPr>
          <w:szCs w:val="24"/>
        </w:rPr>
      </w:pPr>
      <w:r w:rsidRPr="002C2944">
        <w:rPr>
          <w:rStyle w:val="WW-"/>
          <w:rFonts w:ascii="新細明體" w:eastAsia="新細明體" w:hAnsi="新細明體" w:cs="新細明體, PMingLiU"/>
          <w:szCs w:val="24"/>
        </w:rPr>
        <w:t>具有考古學專業。</w:t>
      </w:r>
    </w:p>
    <w:p w14:paraId="49FAD655" w14:textId="77777777" w:rsidR="006C0C14" w:rsidRPr="002C2944" w:rsidRDefault="00072495" w:rsidP="00E77883">
      <w:pPr>
        <w:pStyle w:val="Standard"/>
        <w:widowControl/>
        <w:numPr>
          <w:ilvl w:val="0"/>
          <w:numId w:val="29"/>
        </w:numPr>
        <w:spacing w:line="360" w:lineRule="exact"/>
        <w:ind w:left="1134" w:hanging="567"/>
        <w:rPr>
          <w:szCs w:val="24"/>
        </w:rPr>
      </w:pPr>
      <w:r w:rsidRPr="002C2944">
        <w:rPr>
          <w:rFonts w:ascii="新細明體" w:eastAsia="新細明體" w:hAnsi="新細明體" w:cs="標楷體"/>
          <w:szCs w:val="24"/>
          <w:shd w:val="clear" w:color="auto" w:fill="FFFFFF"/>
        </w:rPr>
        <w:t>聘僱</w:t>
      </w:r>
      <w:r w:rsidRPr="002C2944">
        <w:rPr>
          <w:rStyle w:val="WW-"/>
          <w:rFonts w:ascii="新細明體" w:eastAsia="新細明體" w:hAnsi="新細明體" w:cs="新細明體, PMingLiU"/>
          <w:szCs w:val="24"/>
        </w:rPr>
        <w:t>有前條所定資格之學者專家</w:t>
      </w:r>
      <w:r w:rsidRPr="00D73795">
        <w:rPr>
          <w:rStyle w:val="WW-"/>
          <w:rFonts w:ascii="新細明體" w:eastAsia="新細明體" w:hAnsi="新細明體" w:cs="新細明體, PMingLiU"/>
          <w:b/>
          <w:bCs/>
          <w:szCs w:val="24"/>
          <w:shd w:val="pct15" w:color="auto" w:fill="FFFFFF"/>
        </w:rPr>
        <w:t>二人以上</w:t>
      </w:r>
      <w:r w:rsidRPr="002C2944">
        <w:rPr>
          <w:rStyle w:val="WW-"/>
          <w:rFonts w:ascii="新細明體" w:eastAsia="新細明體" w:hAnsi="新細明體" w:cs="新細明體, PMingLiU"/>
          <w:szCs w:val="24"/>
        </w:rPr>
        <w:t>。</w:t>
      </w:r>
    </w:p>
    <w:p w14:paraId="36FD5BB0" w14:textId="77777777" w:rsidR="006C0C14" w:rsidRPr="002C2944" w:rsidRDefault="00072495" w:rsidP="00E77883">
      <w:pPr>
        <w:pStyle w:val="Standard"/>
        <w:widowControl/>
        <w:numPr>
          <w:ilvl w:val="0"/>
          <w:numId w:val="29"/>
        </w:numPr>
        <w:spacing w:line="360" w:lineRule="exact"/>
        <w:ind w:left="1134" w:hanging="567"/>
        <w:rPr>
          <w:szCs w:val="24"/>
        </w:rPr>
      </w:pPr>
      <w:r w:rsidRPr="002C2944">
        <w:rPr>
          <w:rStyle w:val="WW-"/>
          <w:rFonts w:ascii="新細明體" w:eastAsia="新細明體" w:hAnsi="新細明體" w:cs="新細明體, PMingLiU"/>
          <w:szCs w:val="24"/>
        </w:rPr>
        <w:t>具備出土遺物保管維護之設備、場所及人員。</w:t>
      </w:r>
    </w:p>
    <w:p w14:paraId="30B33C7D" w14:textId="77777777" w:rsidR="006C0C14" w:rsidRPr="002C2944" w:rsidRDefault="00072495" w:rsidP="00E77883">
      <w:pPr>
        <w:pStyle w:val="Standard"/>
        <w:widowControl/>
        <w:numPr>
          <w:ilvl w:val="0"/>
          <w:numId w:val="29"/>
        </w:numPr>
        <w:spacing w:line="360" w:lineRule="exact"/>
        <w:ind w:left="1134" w:hanging="567"/>
        <w:rPr>
          <w:szCs w:val="24"/>
        </w:rPr>
      </w:pPr>
      <w:r w:rsidRPr="002C2944">
        <w:rPr>
          <w:rStyle w:val="WW-"/>
          <w:rFonts w:ascii="新細明體" w:eastAsia="新細明體" w:hAnsi="新細明體" w:cs="新細明體, PMingLiU"/>
          <w:szCs w:val="24"/>
        </w:rPr>
        <w:t>具備出土遺物整理研究之場所。</w:t>
      </w:r>
    </w:p>
    <w:p w14:paraId="6724612C" w14:textId="77777777" w:rsidR="006C0C14" w:rsidRPr="002C2944" w:rsidRDefault="00072495" w:rsidP="00E77883">
      <w:pPr>
        <w:pStyle w:val="Standard"/>
        <w:widowControl/>
        <w:numPr>
          <w:ilvl w:val="0"/>
          <w:numId w:val="29"/>
        </w:numPr>
        <w:spacing w:line="360" w:lineRule="exact"/>
        <w:ind w:left="1134" w:hanging="567"/>
        <w:rPr>
          <w:szCs w:val="24"/>
        </w:rPr>
      </w:pPr>
      <w:r w:rsidRPr="002C2944">
        <w:rPr>
          <w:rFonts w:ascii="新細明體" w:eastAsia="新細明體" w:hAnsi="新細明體" w:cs="標楷體"/>
          <w:szCs w:val="24"/>
        </w:rPr>
        <w:t>具備</w:t>
      </w:r>
      <w:r w:rsidRPr="002C2944">
        <w:rPr>
          <w:rStyle w:val="WW-"/>
          <w:rFonts w:ascii="新細明體" w:eastAsia="新細明體" w:hAnsi="新細明體" w:cs="新細明體, PMingLiU"/>
          <w:szCs w:val="24"/>
        </w:rPr>
        <w:t>符合安全及保護條件之文物典藏空間。</w:t>
      </w:r>
    </w:p>
    <w:p w14:paraId="79B0C60C" w14:textId="77777777" w:rsidR="006C0C14" w:rsidRPr="002C2944" w:rsidRDefault="00072495" w:rsidP="00E77883">
      <w:pPr>
        <w:pStyle w:val="Standard"/>
        <w:widowControl/>
        <w:spacing w:before="120" w:line="360" w:lineRule="exact"/>
        <w:ind w:left="958" w:hanging="958"/>
        <w:jc w:val="both"/>
        <w:rPr>
          <w:szCs w:val="24"/>
        </w:rPr>
      </w:pPr>
      <w:r w:rsidRPr="002C2944">
        <w:rPr>
          <w:rStyle w:val="WW-"/>
          <w:rFonts w:ascii="新細明體" w:eastAsia="新細明體" w:hAnsi="新細明體" w:cs="新細明體, PMingLiU"/>
          <w:szCs w:val="24"/>
        </w:rPr>
        <w:t xml:space="preserve">第6條　　</w:t>
      </w:r>
    </w:p>
    <w:p w14:paraId="0DAABE3D" w14:textId="77777777" w:rsidR="006C0C14" w:rsidRPr="002C2944" w:rsidRDefault="00072495" w:rsidP="00E77883">
      <w:pPr>
        <w:pStyle w:val="Standard"/>
        <w:widowControl/>
        <w:spacing w:line="360" w:lineRule="exact"/>
        <w:ind w:left="1276" w:hanging="960"/>
        <w:jc w:val="both"/>
        <w:rPr>
          <w:szCs w:val="24"/>
        </w:rPr>
      </w:pPr>
      <w:r w:rsidRPr="002C2944">
        <w:rPr>
          <w:rStyle w:val="WW-"/>
          <w:rFonts w:ascii="新細明體" w:eastAsia="新細明體" w:hAnsi="新細明體" w:cs="新細明體, PMingLiU"/>
          <w:szCs w:val="24"/>
        </w:rPr>
        <w:t>符合前二條資格條件之發掘者，應於發掘前填具申請書，並檢附下列文</w:t>
      </w:r>
    </w:p>
    <w:p w14:paraId="6A50D1A5" w14:textId="77777777" w:rsidR="006C0C14" w:rsidRPr="002C2944" w:rsidRDefault="00072495" w:rsidP="00E77883">
      <w:pPr>
        <w:pStyle w:val="Standard"/>
        <w:widowControl/>
        <w:spacing w:line="360" w:lineRule="exact"/>
        <w:ind w:left="1276" w:hanging="960"/>
        <w:jc w:val="both"/>
        <w:rPr>
          <w:szCs w:val="24"/>
        </w:rPr>
      </w:pPr>
      <w:r w:rsidRPr="002C2944">
        <w:rPr>
          <w:rStyle w:val="WW-"/>
          <w:rFonts w:ascii="新細明體" w:eastAsia="新細明體" w:hAnsi="新細明體" w:cs="新細明體, PMingLiU"/>
          <w:szCs w:val="24"/>
        </w:rPr>
        <w:t>件，向主管機關提出：</w:t>
      </w:r>
    </w:p>
    <w:p w14:paraId="39879C94" w14:textId="77777777" w:rsidR="006C0C14" w:rsidRPr="00A814E9" w:rsidRDefault="00072495" w:rsidP="00E77883">
      <w:pPr>
        <w:pStyle w:val="Standard"/>
        <w:widowControl/>
        <w:numPr>
          <w:ilvl w:val="0"/>
          <w:numId w:val="30"/>
        </w:numPr>
        <w:spacing w:line="360" w:lineRule="exact"/>
        <w:ind w:left="1134" w:hanging="565"/>
        <w:rPr>
          <w:szCs w:val="24"/>
          <w:shd w:val="pct15" w:color="auto" w:fill="FFFFFF"/>
        </w:rPr>
      </w:pPr>
      <w:r w:rsidRPr="00A814E9">
        <w:rPr>
          <w:rStyle w:val="WW-"/>
          <w:rFonts w:ascii="新細明體" w:eastAsia="新細明體" w:hAnsi="新細明體" w:cs="新細明體, PMingLiU"/>
          <w:szCs w:val="24"/>
          <w:shd w:val="pct15" w:color="auto" w:fill="FFFFFF"/>
        </w:rPr>
        <w:t>發掘計畫書。</w:t>
      </w:r>
    </w:p>
    <w:p w14:paraId="228EBA5A" w14:textId="77777777" w:rsidR="006C0C14" w:rsidRPr="00A814E9" w:rsidRDefault="00072495" w:rsidP="00E77883">
      <w:pPr>
        <w:pStyle w:val="Standard"/>
        <w:widowControl/>
        <w:numPr>
          <w:ilvl w:val="0"/>
          <w:numId w:val="30"/>
        </w:numPr>
        <w:spacing w:line="360" w:lineRule="exact"/>
        <w:ind w:left="1134" w:hanging="565"/>
        <w:rPr>
          <w:szCs w:val="24"/>
          <w:shd w:val="pct15" w:color="auto" w:fill="FFFFFF"/>
        </w:rPr>
      </w:pPr>
      <w:r w:rsidRPr="00A814E9">
        <w:rPr>
          <w:rStyle w:val="WW-"/>
          <w:rFonts w:ascii="新細明體" w:eastAsia="新細明體" w:hAnsi="新細明體" w:cs="新細明體, PMingLiU"/>
          <w:szCs w:val="24"/>
          <w:shd w:val="pct15" w:color="auto" w:fill="FFFFFF"/>
        </w:rPr>
        <w:t>土地所有人、使用人或管理人之同意書。</w:t>
      </w:r>
    </w:p>
    <w:p w14:paraId="588FC757" w14:textId="77777777" w:rsidR="006C0C14" w:rsidRPr="00A814E9" w:rsidRDefault="00072495" w:rsidP="00E77883">
      <w:pPr>
        <w:pStyle w:val="Standard"/>
        <w:widowControl/>
        <w:numPr>
          <w:ilvl w:val="0"/>
          <w:numId w:val="30"/>
        </w:numPr>
        <w:spacing w:line="360" w:lineRule="exact"/>
        <w:ind w:left="1134" w:hanging="565"/>
        <w:rPr>
          <w:szCs w:val="24"/>
          <w:shd w:val="pct15" w:color="auto" w:fill="FFFFFF"/>
        </w:rPr>
      </w:pPr>
      <w:r w:rsidRPr="00A814E9">
        <w:rPr>
          <w:rStyle w:val="WW-"/>
          <w:rFonts w:ascii="新細明體" w:eastAsia="新細明體" w:hAnsi="新細明體" w:cs="新細明體, PMingLiU"/>
          <w:szCs w:val="24"/>
          <w:shd w:val="pct15" w:color="auto" w:fill="FFFFFF"/>
        </w:rPr>
        <w:t>符合前二條資格條件之證明文件。</w:t>
      </w:r>
    </w:p>
    <w:p w14:paraId="2FB61FB0" w14:textId="78EA60AD" w:rsidR="00B832B8" w:rsidRPr="00B832B8" w:rsidRDefault="00072495" w:rsidP="00B832B8">
      <w:pPr>
        <w:pStyle w:val="Standard"/>
        <w:widowControl/>
        <w:spacing w:line="360" w:lineRule="exact"/>
        <w:ind w:left="283"/>
        <w:jc w:val="both"/>
        <w:rPr>
          <w:rStyle w:val="WW-"/>
          <w:szCs w:val="24"/>
        </w:rPr>
      </w:pPr>
      <w:r w:rsidRPr="002C2944">
        <w:rPr>
          <w:rStyle w:val="WW-"/>
          <w:rFonts w:ascii="新細明體" w:eastAsia="新細明體" w:hAnsi="新細明體" w:cs="新細明體, PMingLiU"/>
          <w:szCs w:val="24"/>
        </w:rPr>
        <w:t>由符合第四條之考古學者專家申請者，應另檢附符合前條條件之學術或專業機構同意提供出土遺物保管維護設備、場所及人員之合作證明文件。</w:t>
      </w:r>
    </w:p>
    <w:p w14:paraId="74DD07E0" w14:textId="1C70D55D" w:rsidR="006C0C14" w:rsidRPr="002C2944" w:rsidRDefault="00072495" w:rsidP="00E77883">
      <w:pPr>
        <w:pStyle w:val="Standard"/>
        <w:widowControl/>
        <w:spacing w:before="120" w:line="360" w:lineRule="exact"/>
        <w:ind w:left="958" w:hanging="958"/>
        <w:jc w:val="both"/>
        <w:rPr>
          <w:szCs w:val="24"/>
        </w:rPr>
      </w:pPr>
      <w:r w:rsidRPr="002C2944">
        <w:rPr>
          <w:rStyle w:val="WW-"/>
          <w:rFonts w:ascii="新細明體" w:eastAsia="新細明體" w:hAnsi="新細明體" w:cs="Arial"/>
          <w:szCs w:val="24"/>
        </w:rPr>
        <w:lastRenderedPageBreak/>
        <w:t xml:space="preserve">第7條　</w:t>
      </w:r>
      <w:r w:rsidRPr="002C2944">
        <w:rPr>
          <w:rStyle w:val="WW-"/>
          <w:rFonts w:ascii="新細明體" w:eastAsia="新細明體" w:hAnsi="新細明體" w:cs="新細明體, PMingLiU"/>
          <w:szCs w:val="24"/>
        </w:rPr>
        <w:t xml:space="preserve">　</w:t>
      </w:r>
    </w:p>
    <w:p w14:paraId="5E840473" w14:textId="77777777" w:rsidR="006C0C14" w:rsidRPr="002C2944" w:rsidRDefault="00072495" w:rsidP="00E77883">
      <w:pPr>
        <w:pStyle w:val="Standard"/>
        <w:widowControl/>
        <w:spacing w:line="360" w:lineRule="exact"/>
        <w:ind w:left="993" w:hanging="709"/>
        <w:jc w:val="both"/>
        <w:rPr>
          <w:szCs w:val="24"/>
        </w:rPr>
      </w:pPr>
      <w:r w:rsidRPr="002C2944">
        <w:rPr>
          <w:rStyle w:val="WW-"/>
          <w:rFonts w:ascii="新細明體" w:eastAsia="新細明體" w:hAnsi="新細明體" w:cs="Arial"/>
          <w:szCs w:val="24"/>
        </w:rPr>
        <w:t>前條第一項第一款發掘計畫書之內容，應包括下列事項：</w:t>
      </w:r>
    </w:p>
    <w:p w14:paraId="09AB9529" w14:textId="77777777" w:rsidR="006C0C14" w:rsidRPr="00D73795" w:rsidRDefault="00072495" w:rsidP="00E77883">
      <w:pPr>
        <w:pStyle w:val="Standard"/>
        <w:widowControl/>
        <w:numPr>
          <w:ilvl w:val="0"/>
          <w:numId w:val="31"/>
        </w:numPr>
        <w:spacing w:line="360" w:lineRule="exact"/>
        <w:ind w:left="1134" w:hanging="567"/>
        <w:rPr>
          <w:b/>
          <w:bCs/>
          <w:szCs w:val="24"/>
          <w:shd w:val="pct15" w:color="auto" w:fill="FFFFFF"/>
        </w:rPr>
      </w:pPr>
      <w:r w:rsidRPr="00D73795">
        <w:rPr>
          <w:rFonts w:ascii="新細明體" w:eastAsia="新細明體" w:hAnsi="新細明體" w:cs="新細明體, PMingLiU"/>
          <w:b/>
          <w:bCs/>
          <w:szCs w:val="24"/>
          <w:shd w:val="pct15" w:color="auto" w:fill="FFFFFF"/>
        </w:rPr>
        <w:t>發掘</w:t>
      </w:r>
      <w:r w:rsidRPr="00D73795">
        <w:rPr>
          <w:rStyle w:val="WW-"/>
          <w:rFonts w:ascii="新細明體" w:eastAsia="新細明體" w:hAnsi="新細明體" w:cs="Arial"/>
          <w:b/>
          <w:bCs/>
          <w:szCs w:val="24"/>
          <w:shd w:val="pct15" w:color="auto" w:fill="FFFFFF"/>
        </w:rPr>
        <w:t>者、具有第四條資格之</w:t>
      </w:r>
      <w:proofErr w:type="gramStart"/>
      <w:r w:rsidRPr="00D73795">
        <w:rPr>
          <w:rStyle w:val="WW-"/>
          <w:rFonts w:ascii="新細明體" w:eastAsia="新細明體" w:hAnsi="新細明體" w:cs="Arial"/>
          <w:b/>
          <w:bCs/>
          <w:szCs w:val="24"/>
          <w:shd w:val="pct15" w:color="auto" w:fill="FFFFFF"/>
        </w:rPr>
        <w:t>一</w:t>
      </w:r>
      <w:proofErr w:type="gramEnd"/>
      <w:r w:rsidRPr="00D73795">
        <w:rPr>
          <w:rStyle w:val="WW-"/>
          <w:rFonts w:ascii="新細明體" w:eastAsia="新細明體" w:hAnsi="新細明體" w:cs="Arial"/>
          <w:b/>
          <w:bCs/>
          <w:szCs w:val="24"/>
          <w:shd w:val="pct15" w:color="auto" w:fill="FFFFFF"/>
        </w:rPr>
        <w:t>之發掘主持人基本資料。如屬營建工程或其他開發行為所涉發掘計畫者，並應載明發掘需求者之基本資料。</w:t>
      </w:r>
    </w:p>
    <w:p w14:paraId="1685F028" w14:textId="77777777" w:rsidR="006C0C14" w:rsidRPr="002C2944" w:rsidRDefault="00072495" w:rsidP="00E77883">
      <w:pPr>
        <w:pStyle w:val="Standard"/>
        <w:widowControl/>
        <w:numPr>
          <w:ilvl w:val="0"/>
          <w:numId w:val="31"/>
        </w:numPr>
        <w:spacing w:line="360" w:lineRule="exact"/>
        <w:ind w:left="1134" w:hanging="567"/>
        <w:rPr>
          <w:szCs w:val="24"/>
        </w:rPr>
      </w:pPr>
      <w:r w:rsidRPr="002C2944">
        <w:rPr>
          <w:rStyle w:val="WW-"/>
          <w:rFonts w:ascii="新細明體" w:eastAsia="新細明體" w:hAnsi="新細明體" w:cs="Arial"/>
          <w:szCs w:val="24"/>
        </w:rPr>
        <w:t>發掘現場常駐考古人員。</w:t>
      </w:r>
    </w:p>
    <w:p w14:paraId="2B5AF318" w14:textId="77777777" w:rsidR="006C0C14" w:rsidRPr="002C2944" w:rsidRDefault="00072495" w:rsidP="00E77883">
      <w:pPr>
        <w:pStyle w:val="Standard"/>
        <w:widowControl/>
        <w:numPr>
          <w:ilvl w:val="0"/>
          <w:numId w:val="31"/>
        </w:numPr>
        <w:spacing w:line="360" w:lineRule="exact"/>
        <w:ind w:left="1134" w:hanging="567"/>
        <w:rPr>
          <w:szCs w:val="24"/>
        </w:rPr>
      </w:pPr>
      <w:r w:rsidRPr="002C2944">
        <w:rPr>
          <w:rStyle w:val="WW-"/>
          <w:rFonts w:ascii="新細明體" w:eastAsia="新細明體" w:hAnsi="新細明體" w:cs="Arial"/>
          <w:szCs w:val="24"/>
        </w:rPr>
        <w:t>發掘考古遺址之基本資料。</w:t>
      </w:r>
    </w:p>
    <w:p w14:paraId="5B2C9AE9" w14:textId="77777777" w:rsidR="006C0C14" w:rsidRPr="002C2944" w:rsidRDefault="00072495" w:rsidP="00E77883">
      <w:pPr>
        <w:pStyle w:val="Standard"/>
        <w:widowControl/>
        <w:numPr>
          <w:ilvl w:val="0"/>
          <w:numId w:val="31"/>
        </w:numPr>
        <w:spacing w:line="360" w:lineRule="exact"/>
        <w:ind w:left="1134" w:hanging="567"/>
        <w:rPr>
          <w:szCs w:val="24"/>
        </w:rPr>
      </w:pPr>
      <w:r w:rsidRPr="002C2944">
        <w:rPr>
          <w:rStyle w:val="WW-"/>
          <w:rFonts w:ascii="新細明體" w:eastAsia="新細明體" w:hAnsi="新細明體" w:cs="Arial"/>
          <w:szCs w:val="24"/>
        </w:rPr>
        <w:t>發掘目的。</w:t>
      </w:r>
    </w:p>
    <w:p w14:paraId="593FC984" w14:textId="77777777" w:rsidR="006C0C14" w:rsidRPr="002C2944" w:rsidRDefault="00072495" w:rsidP="00E77883">
      <w:pPr>
        <w:pStyle w:val="Standard"/>
        <w:widowControl/>
        <w:numPr>
          <w:ilvl w:val="0"/>
          <w:numId w:val="31"/>
        </w:numPr>
        <w:spacing w:line="360" w:lineRule="exact"/>
        <w:ind w:left="1134" w:hanging="567"/>
        <w:rPr>
          <w:szCs w:val="24"/>
        </w:rPr>
      </w:pPr>
      <w:r w:rsidRPr="002C2944">
        <w:rPr>
          <w:rStyle w:val="WW-"/>
          <w:rFonts w:ascii="新細明體" w:eastAsia="新細明體" w:hAnsi="新細明體" w:cs="Arial"/>
          <w:szCs w:val="24"/>
        </w:rPr>
        <w:t>發掘期限。</w:t>
      </w:r>
    </w:p>
    <w:p w14:paraId="7F22A3DE" w14:textId="77777777" w:rsidR="006C0C14" w:rsidRPr="002C2944" w:rsidRDefault="00072495" w:rsidP="00E77883">
      <w:pPr>
        <w:pStyle w:val="Standard"/>
        <w:widowControl/>
        <w:numPr>
          <w:ilvl w:val="0"/>
          <w:numId w:val="31"/>
        </w:numPr>
        <w:spacing w:line="360" w:lineRule="exact"/>
        <w:ind w:left="1134" w:hanging="567"/>
        <w:rPr>
          <w:szCs w:val="24"/>
        </w:rPr>
      </w:pPr>
      <w:r w:rsidRPr="002C2944">
        <w:rPr>
          <w:rStyle w:val="WW-"/>
          <w:rFonts w:ascii="新細明體" w:eastAsia="新細明體" w:hAnsi="新細明體" w:cs="Arial"/>
          <w:szCs w:val="24"/>
        </w:rPr>
        <w:t>人力、經費來源及配置。</w:t>
      </w:r>
    </w:p>
    <w:p w14:paraId="6EF57076" w14:textId="77777777" w:rsidR="006C0C14" w:rsidRPr="002C2944" w:rsidRDefault="00072495" w:rsidP="00E77883">
      <w:pPr>
        <w:pStyle w:val="Standard"/>
        <w:widowControl/>
        <w:numPr>
          <w:ilvl w:val="0"/>
          <w:numId w:val="31"/>
        </w:numPr>
        <w:spacing w:line="360" w:lineRule="exact"/>
        <w:ind w:left="1134" w:hanging="567"/>
        <w:rPr>
          <w:szCs w:val="24"/>
        </w:rPr>
      </w:pPr>
      <w:r w:rsidRPr="002C2944">
        <w:rPr>
          <w:rStyle w:val="WW-"/>
          <w:rFonts w:ascii="新細明體" w:eastAsia="新細明體" w:hAnsi="新細明體" w:cs="Arial"/>
          <w:szCs w:val="24"/>
        </w:rPr>
        <w:t>預計發掘位置及面積規劃。</w:t>
      </w:r>
    </w:p>
    <w:p w14:paraId="58E83F99" w14:textId="77777777" w:rsidR="006C0C14" w:rsidRPr="002C2944" w:rsidRDefault="00072495" w:rsidP="00E77883">
      <w:pPr>
        <w:pStyle w:val="Standard"/>
        <w:widowControl/>
        <w:numPr>
          <w:ilvl w:val="0"/>
          <w:numId w:val="31"/>
        </w:numPr>
        <w:spacing w:line="360" w:lineRule="exact"/>
        <w:ind w:left="1134" w:hanging="567"/>
        <w:rPr>
          <w:szCs w:val="24"/>
        </w:rPr>
      </w:pPr>
      <w:r w:rsidRPr="002C2944">
        <w:rPr>
          <w:rStyle w:val="WW-"/>
          <w:rFonts w:ascii="新細明體" w:eastAsia="新細明體" w:hAnsi="新細明體" w:cs="Arial"/>
          <w:szCs w:val="24"/>
        </w:rPr>
        <w:t>發掘工作事項、程序及方法。</w:t>
      </w:r>
    </w:p>
    <w:p w14:paraId="60DCBD9A" w14:textId="77777777" w:rsidR="006C0C14" w:rsidRPr="002C2944" w:rsidRDefault="00072495" w:rsidP="00E77883">
      <w:pPr>
        <w:pStyle w:val="Standard"/>
        <w:widowControl/>
        <w:numPr>
          <w:ilvl w:val="0"/>
          <w:numId w:val="31"/>
        </w:numPr>
        <w:spacing w:line="360" w:lineRule="exact"/>
        <w:ind w:left="1134" w:hanging="567"/>
        <w:rPr>
          <w:szCs w:val="24"/>
        </w:rPr>
      </w:pPr>
      <w:r w:rsidRPr="002C2944">
        <w:rPr>
          <w:rStyle w:val="WW-"/>
          <w:rFonts w:ascii="新細明體" w:eastAsia="新細明體" w:hAnsi="新細明體" w:cs="Arial"/>
          <w:szCs w:val="24"/>
        </w:rPr>
        <w:t>連續性發掘，各年度進行之狀況。</w:t>
      </w:r>
    </w:p>
    <w:p w14:paraId="0F62A1CD" w14:textId="77777777" w:rsidR="006C0C14" w:rsidRPr="002C2944" w:rsidRDefault="00072495" w:rsidP="00E77883">
      <w:pPr>
        <w:pStyle w:val="Standard"/>
        <w:widowControl/>
        <w:numPr>
          <w:ilvl w:val="0"/>
          <w:numId w:val="31"/>
        </w:numPr>
        <w:spacing w:line="360" w:lineRule="exact"/>
        <w:ind w:left="1134" w:hanging="567"/>
        <w:rPr>
          <w:szCs w:val="24"/>
        </w:rPr>
      </w:pPr>
      <w:r w:rsidRPr="002C2944">
        <w:rPr>
          <w:rStyle w:val="WW-"/>
          <w:rFonts w:ascii="新細明體" w:eastAsia="新細明體" w:hAnsi="新細明體" w:cs="Arial"/>
          <w:szCs w:val="24"/>
        </w:rPr>
        <w:t>發掘之申請紀錄。</w:t>
      </w:r>
    </w:p>
    <w:p w14:paraId="55E5FBAE" w14:textId="77777777" w:rsidR="006C0C14" w:rsidRPr="002C2944" w:rsidRDefault="00072495" w:rsidP="00E77883">
      <w:pPr>
        <w:pStyle w:val="Standard"/>
        <w:widowControl/>
        <w:numPr>
          <w:ilvl w:val="0"/>
          <w:numId w:val="31"/>
        </w:numPr>
        <w:spacing w:line="360" w:lineRule="exact"/>
        <w:ind w:left="1134" w:hanging="567"/>
        <w:rPr>
          <w:szCs w:val="24"/>
        </w:rPr>
      </w:pPr>
      <w:r w:rsidRPr="002C2944">
        <w:rPr>
          <w:rStyle w:val="WW-"/>
          <w:rFonts w:ascii="新細明體" w:eastAsia="新細明體" w:hAnsi="新細明體" w:cs="Arial"/>
          <w:szCs w:val="24"/>
        </w:rPr>
        <w:t>出土遺物之保管維護計畫。</w:t>
      </w:r>
    </w:p>
    <w:p w14:paraId="72F5239D" w14:textId="77777777" w:rsidR="006C0C14" w:rsidRPr="002C2944" w:rsidRDefault="00072495" w:rsidP="00E77883">
      <w:pPr>
        <w:pStyle w:val="Standard"/>
        <w:widowControl/>
        <w:numPr>
          <w:ilvl w:val="0"/>
          <w:numId w:val="31"/>
        </w:numPr>
        <w:spacing w:line="360" w:lineRule="exact"/>
        <w:ind w:left="1134" w:hanging="567"/>
        <w:rPr>
          <w:szCs w:val="24"/>
        </w:rPr>
      </w:pPr>
      <w:r w:rsidRPr="002C2944">
        <w:rPr>
          <w:rStyle w:val="WW-"/>
          <w:rFonts w:ascii="新細明體" w:eastAsia="新細明體" w:hAnsi="新細明體" w:cs="Arial"/>
          <w:szCs w:val="24"/>
        </w:rPr>
        <w:t>發掘者近三年發掘案件執行情形。</w:t>
      </w:r>
    </w:p>
    <w:p w14:paraId="41644355" w14:textId="77777777" w:rsidR="006C0C14" w:rsidRPr="00A814E9" w:rsidRDefault="00072495" w:rsidP="00E77883">
      <w:pPr>
        <w:pStyle w:val="Standard"/>
        <w:widowControl/>
        <w:numPr>
          <w:ilvl w:val="0"/>
          <w:numId w:val="31"/>
        </w:numPr>
        <w:spacing w:line="360" w:lineRule="exact"/>
        <w:ind w:left="1134" w:hanging="567"/>
        <w:rPr>
          <w:szCs w:val="24"/>
          <w:shd w:val="pct15" w:color="auto" w:fill="FFFFFF"/>
        </w:rPr>
      </w:pPr>
      <w:r w:rsidRPr="00A814E9">
        <w:rPr>
          <w:rStyle w:val="WW-"/>
          <w:rFonts w:ascii="新細明體" w:eastAsia="新細明體" w:hAnsi="新細明體" w:cs="Arial"/>
          <w:szCs w:val="24"/>
          <w:shd w:val="pct15" w:color="auto" w:fill="FFFFFF"/>
        </w:rPr>
        <w:t>如有外國人與國內學術或專業機構合作者，應檢附雙方合作意向書。</w:t>
      </w:r>
    </w:p>
    <w:p w14:paraId="3E77F31D" w14:textId="77777777" w:rsidR="006C0C14" w:rsidRPr="002C2944" w:rsidRDefault="00072495" w:rsidP="00E77883">
      <w:pPr>
        <w:pStyle w:val="Standard"/>
        <w:widowControl/>
        <w:spacing w:line="360" w:lineRule="exact"/>
        <w:ind w:left="425"/>
        <w:jc w:val="both"/>
        <w:rPr>
          <w:szCs w:val="24"/>
        </w:rPr>
      </w:pPr>
      <w:r w:rsidRPr="002C2944">
        <w:rPr>
          <w:rFonts w:ascii="新細明體" w:eastAsia="新細明體" w:hAnsi="新細明體" w:cs="Arial"/>
          <w:szCs w:val="24"/>
          <w:shd w:val="clear" w:color="auto" w:fill="FFFFFF"/>
        </w:rPr>
        <w:t>本</w:t>
      </w:r>
      <w:r w:rsidRPr="002C2944">
        <w:rPr>
          <w:rFonts w:ascii="新細明體" w:eastAsia="新細明體" w:hAnsi="新細明體" w:cs="新細明體, PMingLiU"/>
          <w:szCs w:val="24"/>
          <w:shd w:val="clear" w:color="auto" w:fill="FFFFFF"/>
        </w:rPr>
        <w:t>辦法</w:t>
      </w:r>
      <w:r w:rsidRPr="002C2944">
        <w:rPr>
          <w:rFonts w:ascii="新細明體" w:eastAsia="新細明體" w:hAnsi="新細明體" w:cs="Arial"/>
          <w:szCs w:val="24"/>
          <w:shd w:val="clear" w:color="auto" w:fill="FFFFFF"/>
        </w:rPr>
        <w:t>所稱發掘需求者，指包括對發掘區域內土地有所有權或進行開發之考古遺址發掘出資者。</w:t>
      </w:r>
    </w:p>
    <w:p w14:paraId="1AB67435" w14:textId="77777777" w:rsidR="006C0C14" w:rsidRPr="002C2944" w:rsidRDefault="00072495" w:rsidP="00E77883">
      <w:pPr>
        <w:pStyle w:val="Standard"/>
        <w:widowControl/>
        <w:spacing w:before="120" w:line="360" w:lineRule="exact"/>
        <w:ind w:left="958" w:hanging="958"/>
        <w:jc w:val="both"/>
        <w:rPr>
          <w:szCs w:val="24"/>
        </w:rPr>
      </w:pPr>
      <w:r w:rsidRPr="002C2944">
        <w:rPr>
          <w:rStyle w:val="WW-"/>
          <w:rFonts w:ascii="新細明體" w:eastAsia="新細明體" w:hAnsi="新細明體" w:cs="Arial"/>
          <w:szCs w:val="24"/>
        </w:rPr>
        <w:t>第8條</w:t>
      </w:r>
      <w:r w:rsidRPr="002C2944">
        <w:rPr>
          <w:rStyle w:val="WW-"/>
          <w:rFonts w:ascii="新細明體" w:eastAsia="新細明體" w:hAnsi="新細明體" w:cs="新細明體, PMingLiU"/>
          <w:szCs w:val="24"/>
        </w:rPr>
        <w:t xml:space="preserve">　　</w:t>
      </w:r>
    </w:p>
    <w:p w14:paraId="6494D278" w14:textId="77777777" w:rsidR="006C0C14" w:rsidRPr="002C2944" w:rsidRDefault="00072495" w:rsidP="00E77883">
      <w:pPr>
        <w:pStyle w:val="Standard"/>
        <w:widowControl/>
        <w:spacing w:line="360" w:lineRule="exact"/>
        <w:ind w:left="958" w:hanging="674"/>
        <w:jc w:val="both"/>
        <w:rPr>
          <w:szCs w:val="24"/>
        </w:rPr>
      </w:pPr>
      <w:r w:rsidRPr="002C2944">
        <w:rPr>
          <w:rStyle w:val="WW-"/>
          <w:rFonts w:ascii="新細明體" w:eastAsia="新細明體" w:hAnsi="新細明體" w:cs="Arial"/>
          <w:szCs w:val="24"/>
          <w:shd w:val="clear" w:color="auto" w:fill="FFFFFF"/>
        </w:rPr>
        <w:t>前條第一項第二款發掘現場常駐考古人員，應具備下列資格之</w:t>
      </w:r>
      <w:proofErr w:type="gramStart"/>
      <w:r w:rsidRPr="002C2944">
        <w:rPr>
          <w:rStyle w:val="WW-"/>
          <w:rFonts w:ascii="新細明體" w:eastAsia="新細明體" w:hAnsi="新細明體" w:cs="Arial"/>
          <w:szCs w:val="24"/>
          <w:shd w:val="clear" w:color="auto" w:fill="FFFFFF"/>
        </w:rPr>
        <w:t>一</w:t>
      </w:r>
      <w:proofErr w:type="gramEnd"/>
      <w:r w:rsidRPr="002C2944">
        <w:rPr>
          <w:rStyle w:val="WW-"/>
          <w:rFonts w:ascii="新細明體" w:eastAsia="新細明體" w:hAnsi="新細明體" w:cs="Arial"/>
          <w:szCs w:val="24"/>
          <w:shd w:val="clear" w:color="auto" w:fill="FFFFFF"/>
        </w:rPr>
        <w:t>：</w:t>
      </w:r>
    </w:p>
    <w:p w14:paraId="3C5B2ECB" w14:textId="77777777" w:rsidR="006C0C14" w:rsidRPr="002C2944" w:rsidRDefault="00072495" w:rsidP="00E77883">
      <w:pPr>
        <w:pStyle w:val="Standard"/>
        <w:widowControl/>
        <w:numPr>
          <w:ilvl w:val="0"/>
          <w:numId w:val="32"/>
        </w:numPr>
        <w:spacing w:line="360" w:lineRule="exact"/>
        <w:ind w:left="993"/>
        <w:rPr>
          <w:rFonts w:ascii="新細明體" w:eastAsia="新細明體" w:hAnsi="新細明體" w:cs="標楷體"/>
          <w:szCs w:val="24"/>
        </w:rPr>
      </w:pPr>
      <w:r w:rsidRPr="002C2944">
        <w:rPr>
          <w:rFonts w:ascii="新細明體" w:eastAsia="新細明體" w:hAnsi="新細明體" w:cs="標楷體"/>
          <w:szCs w:val="24"/>
        </w:rPr>
        <w:t>累積五年以上考古遺址發掘相關工作實務經驗。</w:t>
      </w:r>
    </w:p>
    <w:p w14:paraId="111EFC7D" w14:textId="77777777" w:rsidR="006C0C14" w:rsidRPr="002C2944" w:rsidRDefault="00072495" w:rsidP="00E77883">
      <w:pPr>
        <w:pStyle w:val="Standard"/>
        <w:widowControl/>
        <w:numPr>
          <w:ilvl w:val="0"/>
          <w:numId w:val="32"/>
        </w:numPr>
        <w:spacing w:line="360" w:lineRule="exact"/>
        <w:ind w:left="993"/>
        <w:rPr>
          <w:rFonts w:ascii="新細明體" w:eastAsia="新細明體" w:hAnsi="新細明體" w:cs="標楷體"/>
          <w:szCs w:val="24"/>
        </w:rPr>
      </w:pPr>
      <w:r w:rsidRPr="002C2944">
        <w:rPr>
          <w:rFonts w:ascii="新細明體" w:eastAsia="新細明體" w:hAnsi="新細明體" w:cs="標楷體"/>
          <w:szCs w:val="24"/>
        </w:rPr>
        <w:t>具有考古學系、人類學系學士學位或相關學位學程，累積三年以上考古遺址發掘相關工作實務經驗。</w:t>
      </w:r>
    </w:p>
    <w:p w14:paraId="6CC8F99C" w14:textId="77777777" w:rsidR="006C0C14" w:rsidRPr="002C2944" w:rsidRDefault="00072495" w:rsidP="00E77883">
      <w:pPr>
        <w:pStyle w:val="Standard"/>
        <w:widowControl/>
        <w:numPr>
          <w:ilvl w:val="0"/>
          <w:numId w:val="32"/>
        </w:numPr>
        <w:spacing w:line="360" w:lineRule="exact"/>
        <w:ind w:left="993"/>
        <w:rPr>
          <w:szCs w:val="24"/>
        </w:rPr>
      </w:pPr>
      <w:r w:rsidRPr="002C2944">
        <w:rPr>
          <w:rFonts w:ascii="新細明體" w:eastAsia="新細明體" w:hAnsi="新細明體" w:cs="標楷體"/>
          <w:szCs w:val="24"/>
        </w:rPr>
        <w:t>具有</w:t>
      </w:r>
      <w:r w:rsidRPr="002C2944">
        <w:rPr>
          <w:rFonts w:ascii="新細明體" w:eastAsia="新細明體" w:hAnsi="新細明體" w:cs="Arial"/>
          <w:szCs w:val="24"/>
        </w:rPr>
        <w:t>考古學</w:t>
      </w:r>
      <w:r w:rsidRPr="002C2944">
        <w:rPr>
          <w:rFonts w:ascii="新細明體" w:eastAsia="新細明體" w:hAnsi="新細明體" w:cs="標楷體"/>
          <w:szCs w:val="24"/>
        </w:rPr>
        <w:t>系、人類學系碩士以上學位或相關學位學程。</w:t>
      </w:r>
    </w:p>
    <w:p w14:paraId="751CCA55" w14:textId="77777777" w:rsidR="006C0C14" w:rsidRPr="00A814E9" w:rsidRDefault="00072495" w:rsidP="00E77883">
      <w:pPr>
        <w:pStyle w:val="Standard"/>
        <w:widowControl/>
        <w:spacing w:line="360" w:lineRule="exact"/>
        <w:ind w:left="283"/>
        <w:rPr>
          <w:szCs w:val="24"/>
          <w:shd w:val="pct15" w:color="auto" w:fill="FFFFFF"/>
        </w:rPr>
      </w:pPr>
      <w:r w:rsidRPr="00A814E9">
        <w:rPr>
          <w:rStyle w:val="WW-"/>
          <w:rFonts w:ascii="新細明體" w:eastAsia="新細明體" w:hAnsi="新細明體" w:cs="Arial"/>
          <w:color w:val="000000"/>
          <w:szCs w:val="24"/>
          <w:shd w:val="pct15" w:color="auto" w:fill="FFFFFF"/>
          <w:lang w:eastAsia="zh-HK"/>
        </w:rPr>
        <w:t>前項所稱考古遺址發掘相關工作，包含發掘現場之測量、挖掘、</w:t>
      </w:r>
      <w:r w:rsidRPr="00A814E9">
        <w:rPr>
          <w:rStyle w:val="WW-"/>
          <w:rFonts w:ascii="新細明體" w:eastAsia="新細明體" w:hAnsi="新細明體" w:cs="Arial"/>
          <w:color w:val="000000"/>
          <w:szCs w:val="24"/>
          <w:shd w:val="pct15" w:color="auto" w:fill="FFFFFF"/>
        </w:rPr>
        <w:t>記</w:t>
      </w:r>
      <w:r w:rsidRPr="00A814E9">
        <w:rPr>
          <w:rStyle w:val="WW-"/>
          <w:rFonts w:ascii="新細明體" w:eastAsia="新細明體" w:hAnsi="新細明體" w:cs="Arial"/>
          <w:color w:val="000000"/>
          <w:szCs w:val="24"/>
          <w:shd w:val="pct15" w:color="auto" w:fill="FFFFFF"/>
          <w:lang w:eastAsia="zh-HK"/>
        </w:rPr>
        <w:t>錄、整理、發掘結束後出土遺物之整理或研究等工作。</w:t>
      </w:r>
    </w:p>
    <w:p w14:paraId="6C8B1809" w14:textId="77777777" w:rsidR="006C0C14" w:rsidRPr="002C2944" w:rsidRDefault="00072495" w:rsidP="00E77883">
      <w:pPr>
        <w:pStyle w:val="Standard"/>
        <w:widowControl/>
        <w:spacing w:before="120" w:line="360" w:lineRule="exact"/>
        <w:ind w:left="958" w:hanging="958"/>
        <w:jc w:val="both"/>
        <w:rPr>
          <w:szCs w:val="24"/>
        </w:rPr>
      </w:pPr>
      <w:r w:rsidRPr="002C2944">
        <w:rPr>
          <w:rFonts w:ascii="新細明體" w:eastAsia="新細明體" w:hAnsi="新細明體" w:cs="Arial"/>
          <w:szCs w:val="24"/>
        </w:rPr>
        <w:t xml:space="preserve">第9條　</w:t>
      </w:r>
      <w:r w:rsidRPr="002C2944">
        <w:rPr>
          <w:rStyle w:val="WW-"/>
          <w:rFonts w:ascii="新細明體" w:eastAsia="新細明體" w:hAnsi="新細明體" w:cs="新細明體, PMingLiU"/>
          <w:szCs w:val="24"/>
        </w:rPr>
        <w:t xml:space="preserve">　</w:t>
      </w:r>
    </w:p>
    <w:p w14:paraId="2F260689" w14:textId="77777777" w:rsidR="006C0C14" w:rsidRPr="002C2944" w:rsidRDefault="00072495" w:rsidP="00E77883">
      <w:pPr>
        <w:pStyle w:val="Standard"/>
        <w:widowControl/>
        <w:spacing w:line="360" w:lineRule="exact"/>
        <w:ind w:left="284"/>
        <w:rPr>
          <w:szCs w:val="24"/>
        </w:rPr>
      </w:pPr>
      <w:r w:rsidRPr="002C2944">
        <w:rPr>
          <w:rFonts w:ascii="新細明體" w:eastAsia="新細明體" w:hAnsi="新細明體" w:cs="Arial"/>
          <w:szCs w:val="24"/>
        </w:rPr>
        <w:t>第7條發掘計畫書應於發掘前提出，如因搶救考古遺址之緊急需要，並經主管機關同意者，得由</w:t>
      </w:r>
      <w:r w:rsidRPr="002C2944">
        <w:rPr>
          <w:rFonts w:ascii="新細明體" w:eastAsia="新細明體" w:hAnsi="新細明體" w:cs="Arial"/>
          <w:szCs w:val="24"/>
          <w:shd w:val="clear" w:color="auto" w:fill="FFFFFF"/>
        </w:rPr>
        <w:t>發掘者</w:t>
      </w:r>
      <w:r w:rsidRPr="002C2944">
        <w:rPr>
          <w:rFonts w:ascii="新細明體" w:eastAsia="新細明體" w:hAnsi="新細明體" w:cs="Arial"/>
          <w:szCs w:val="24"/>
        </w:rPr>
        <w:t>先行發掘，並於開始發掘後一個月內補提申請。</w:t>
      </w:r>
    </w:p>
    <w:p w14:paraId="60D57395" w14:textId="77777777" w:rsidR="006C0C14" w:rsidRPr="00A814E9" w:rsidRDefault="00072495" w:rsidP="00E77883">
      <w:pPr>
        <w:pStyle w:val="Standard"/>
        <w:widowControl/>
        <w:spacing w:line="360" w:lineRule="exact"/>
        <w:ind w:left="283"/>
        <w:jc w:val="both"/>
        <w:rPr>
          <w:szCs w:val="24"/>
          <w:shd w:val="pct15" w:color="auto" w:fill="FFFFFF"/>
        </w:rPr>
      </w:pPr>
      <w:r w:rsidRPr="00A814E9">
        <w:rPr>
          <w:rStyle w:val="WW-"/>
          <w:rFonts w:ascii="新細明體" w:eastAsia="新細明體" w:hAnsi="新細明體" w:cs="Arial"/>
          <w:szCs w:val="24"/>
          <w:shd w:val="pct15" w:color="auto" w:fill="FFFFFF"/>
          <w:lang w:eastAsia="zh-HK"/>
        </w:rPr>
        <w:t>前項所稱緊急需要，包括因天然災害、公共安全或其他事故所生之緊急狀況。</w:t>
      </w:r>
    </w:p>
    <w:p w14:paraId="77C015B5" w14:textId="77777777" w:rsidR="006C0C14" w:rsidRPr="002C2944" w:rsidRDefault="00072495" w:rsidP="00E77883">
      <w:pPr>
        <w:pStyle w:val="Standard"/>
        <w:widowControl/>
        <w:spacing w:before="120" w:line="360" w:lineRule="exact"/>
        <w:ind w:left="958" w:hanging="958"/>
        <w:jc w:val="both"/>
        <w:rPr>
          <w:szCs w:val="24"/>
        </w:rPr>
      </w:pPr>
      <w:r w:rsidRPr="002C2944">
        <w:rPr>
          <w:rStyle w:val="WW-"/>
          <w:rFonts w:ascii="新細明體" w:eastAsia="新細明體" w:hAnsi="新細明體" w:cs="Arial"/>
          <w:szCs w:val="24"/>
        </w:rPr>
        <w:t xml:space="preserve">第10條　</w:t>
      </w:r>
      <w:r w:rsidRPr="002C2944">
        <w:rPr>
          <w:rStyle w:val="WW-"/>
          <w:rFonts w:ascii="新細明體" w:eastAsia="新細明體" w:hAnsi="新細明體" w:cs="新細明體, PMingLiU"/>
          <w:szCs w:val="24"/>
        </w:rPr>
        <w:t xml:space="preserve">　</w:t>
      </w:r>
    </w:p>
    <w:p w14:paraId="1F0DC741" w14:textId="77777777" w:rsidR="006C0C14" w:rsidRPr="002C2944" w:rsidRDefault="00072495" w:rsidP="00E77883">
      <w:pPr>
        <w:pStyle w:val="Standard"/>
        <w:widowControl/>
        <w:spacing w:line="360" w:lineRule="exact"/>
        <w:ind w:left="283"/>
        <w:rPr>
          <w:szCs w:val="24"/>
        </w:rPr>
      </w:pPr>
      <w:r w:rsidRPr="002C2944">
        <w:rPr>
          <w:rStyle w:val="WW-"/>
          <w:rFonts w:ascii="新細明體" w:eastAsia="新細明體" w:hAnsi="新細明體" w:cs="Arial"/>
          <w:szCs w:val="24"/>
        </w:rPr>
        <w:t>考古遺址之發掘者，應依發掘計畫書內容，確保發掘品質及出土遺物之安全維護。</w:t>
      </w:r>
    </w:p>
    <w:p w14:paraId="6EA1BDE3" w14:textId="77777777" w:rsidR="006C0C14" w:rsidRPr="002C2944" w:rsidRDefault="00072495" w:rsidP="00E77883">
      <w:pPr>
        <w:pStyle w:val="Standard"/>
        <w:widowControl/>
        <w:spacing w:line="360" w:lineRule="exact"/>
        <w:ind w:left="283"/>
        <w:jc w:val="both"/>
        <w:rPr>
          <w:szCs w:val="24"/>
        </w:rPr>
      </w:pPr>
      <w:r w:rsidRPr="002C2944">
        <w:rPr>
          <w:rStyle w:val="WW-"/>
          <w:rFonts w:ascii="新細明體" w:eastAsia="新細明體" w:hAnsi="新細明體" w:cs="Arial"/>
          <w:szCs w:val="24"/>
        </w:rPr>
        <w:t>考古遺址之發掘，應於發掘結束</w:t>
      </w:r>
      <w:proofErr w:type="gramStart"/>
      <w:r w:rsidRPr="002C2944">
        <w:rPr>
          <w:rStyle w:val="WW-"/>
          <w:rFonts w:ascii="新細明體" w:eastAsia="新細明體" w:hAnsi="新細明體" w:cs="Arial"/>
          <w:szCs w:val="24"/>
        </w:rPr>
        <w:t>一</w:t>
      </w:r>
      <w:proofErr w:type="gramEnd"/>
      <w:r w:rsidRPr="002C2944">
        <w:rPr>
          <w:rStyle w:val="WW-"/>
          <w:rFonts w:ascii="新細明體" w:eastAsia="新細明體" w:hAnsi="新細明體" w:cs="Arial"/>
          <w:szCs w:val="24"/>
        </w:rPr>
        <w:t>年內，將出土遺物造具清冊及原始發掘紀錄影本報主管機關；並於發掘結束</w:t>
      </w:r>
      <w:proofErr w:type="gramStart"/>
      <w:r w:rsidRPr="002C2944">
        <w:rPr>
          <w:rStyle w:val="WW-"/>
          <w:rFonts w:ascii="新細明體" w:eastAsia="新細明體" w:hAnsi="新細明體" w:cs="Arial"/>
          <w:szCs w:val="24"/>
        </w:rPr>
        <w:t>三</w:t>
      </w:r>
      <w:proofErr w:type="gramEnd"/>
      <w:r w:rsidRPr="002C2944">
        <w:rPr>
          <w:rStyle w:val="WW-"/>
          <w:rFonts w:ascii="新細明體" w:eastAsia="新細明體" w:hAnsi="新細明體" w:cs="Arial"/>
          <w:szCs w:val="24"/>
        </w:rPr>
        <w:t>年內，完成發掘報告，公開發表，並報主管機關備查。</w:t>
      </w:r>
    </w:p>
    <w:p w14:paraId="4DFE8CEC" w14:textId="77777777" w:rsidR="006C0C14" w:rsidRPr="002C2944" w:rsidRDefault="00072495" w:rsidP="00E77883">
      <w:pPr>
        <w:pStyle w:val="Standard"/>
        <w:widowControl/>
        <w:spacing w:line="360" w:lineRule="exact"/>
        <w:ind w:left="283"/>
        <w:jc w:val="both"/>
        <w:rPr>
          <w:szCs w:val="24"/>
        </w:rPr>
      </w:pPr>
      <w:r w:rsidRPr="002C2944">
        <w:rPr>
          <w:rStyle w:val="WW-"/>
          <w:rFonts w:ascii="新細明體" w:eastAsia="新細明體" w:hAnsi="新細明體" w:cs="Arial"/>
          <w:szCs w:val="24"/>
        </w:rPr>
        <w:t>前項期限，得視需要，報經主管機關核准後延長。</w:t>
      </w:r>
    </w:p>
    <w:p w14:paraId="39712375" w14:textId="77777777" w:rsidR="006C0C14" w:rsidRPr="002C2944" w:rsidRDefault="00072495" w:rsidP="00E77883">
      <w:pPr>
        <w:pStyle w:val="Standard"/>
        <w:widowControl/>
        <w:spacing w:line="360" w:lineRule="exact"/>
        <w:ind w:left="283"/>
        <w:jc w:val="both"/>
        <w:rPr>
          <w:szCs w:val="24"/>
        </w:rPr>
      </w:pPr>
      <w:r w:rsidRPr="002C2944">
        <w:rPr>
          <w:rStyle w:val="WW-"/>
          <w:rFonts w:ascii="新細明體" w:eastAsia="新細明體" w:hAnsi="新細明體" w:cs="Arial"/>
          <w:szCs w:val="24"/>
        </w:rPr>
        <w:t>考古遺址發掘之出土遺物清冊，應載明下列事項：</w:t>
      </w:r>
    </w:p>
    <w:p w14:paraId="446A24A8" w14:textId="77777777" w:rsidR="006C0C14" w:rsidRPr="002C2944" w:rsidRDefault="00072495" w:rsidP="00E77883">
      <w:pPr>
        <w:pStyle w:val="Standard"/>
        <w:widowControl/>
        <w:numPr>
          <w:ilvl w:val="0"/>
          <w:numId w:val="33"/>
        </w:numPr>
        <w:spacing w:line="360" w:lineRule="exact"/>
        <w:ind w:left="993"/>
        <w:rPr>
          <w:szCs w:val="24"/>
        </w:rPr>
      </w:pPr>
      <w:r w:rsidRPr="00A814E9">
        <w:rPr>
          <w:rStyle w:val="WW-"/>
          <w:rFonts w:ascii="新細明體" w:eastAsia="新細明體" w:hAnsi="新細明體" w:cs="Arial"/>
          <w:szCs w:val="24"/>
          <w:shd w:val="pct15" w:color="auto" w:fill="FFFFFF"/>
        </w:rPr>
        <w:t>發掘者</w:t>
      </w:r>
      <w:r w:rsidRPr="002C2944">
        <w:rPr>
          <w:rStyle w:val="WW-"/>
          <w:rFonts w:ascii="新細明體" w:eastAsia="新細明體" w:hAnsi="新細明體" w:cs="Arial"/>
          <w:szCs w:val="24"/>
        </w:rPr>
        <w:t>、發掘主持</w:t>
      </w:r>
      <w:r w:rsidRPr="002C2944">
        <w:rPr>
          <w:rStyle w:val="WW-"/>
          <w:rFonts w:ascii="新細明體" w:eastAsia="新細明體" w:hAnsi="新細明體" w:cs="Arial"/>
          <w:szCs w:val="24"/>
          <w:lang w:eastAsia="zh-HK"/>
        </w:rPr>
        <w:t>人</w:t>
      </w:r>
      <w:r w:rsidRPr="002C2944">
        <w:rPr>
          <w:rStyle w:val="WW-"/>
          <w:rFonts w:ascii="新細明體" w:eastAsia="新細明體" w:hAnsi="新細明體" w:cs="Arial"/>
          <w:szCs w:val="24"/>
        </w:rPr>
        <w:t>之姓名、所屬機構名稱、地址。</w:t>
      </w:r>
      <w:r w:rsidRPr="00D73795">
        <w:rPr>
          <w:rStyle w:val="WW-"/>
          <w:rFonts w:ascii="新細明體" w:eastAsia="新細明體" w:hAnsi="新細明體" w:cs="Arial"/>
          <w:b/>
          <w:bCs/>
          <w:szCs w:val="24"/>
          <w:shd w:val="pct15" w:color="auto" w:fill="FFFFFF"/>
        </w:rPr>
        <w:t>如屬營建工程或其他開發行為所涉發掘計畫者，並應載明發掘需求者之姓名或名稱、地址。</w:t>
      </w:r>
    </w:p>
    <w:p w14:paraId="370D231D" w14:textId="77777777" w:rsidR="006C0C14" w:rsidRPr="002C2944" w:rsidRDefault="00072495" w:rsidP="00E77883">
      <w:pPr>
        <w:pStyle w:val="Standard"/>
        <w:widowControl/>
        <w:numPr>
          <w:ilvl w:val="0"/>
          <w:numId w:val="33"/>
        </w:numPr>
        <w:spacing w:line="360" w:lineRule="exact"/>
        <w:ind w:left="993"/>
        <w:rPr>
          <w:szCs w:val="24"/>
        </w:rPr>
      </w:pPr>
      <w:r w:rsidRPr="002C2944">
        <w:rPr>
          <w:rStyle w:val="WW-"/>
          <w:rFonts w:ascii="新細明體" w:eastAsia="新細明體" w:hAnsi="新細明體" w:cs="Arial"/>
          <w:szCs w:val="24"/>
        </w:rPr>
        <w:t>發掘考古遺址名稱。</w:t>
      </w:r>
    </w:p>
    <w:p w14:paraId="0E08E076" w14:textId="77777777" w:rsidR="006C0C14" w:rsidRPr="002C2944" w:rsidRDefault="00072495" w:rsidP="00E77883">
      <w:pPr>
        <w:pStyle w:val="Standard"/>
        <w:widowControl/>
        <w:numPr>
          <w:ilvl w:val="0"/>
          <w:numId w:val="33"/>
        </w:numPr>
        <w:spacing w:line="360" w:lineRule="exact"/>
        <w:ind w:left="993"/>
        <w:rPr>
          <w:szCs w:val="24"/>
        </w:rPr>
      </w:pPr>
      <w:r w:rsidRPr="002C2944">
        <w:rPr>
          <w:rStyle w:val="WW-"/>
          <w:rFonts w:ascii="新細明體" w:eastAsia="新細明體" w:hAnsi="新細明體" w:cs="Arial"/>
          <w:szCs w:val="24"/>
        </w:rPr>
        <w:t>發掘範圍，並附地圖。</w:t>
      </w:r>
    </w:p>
    <w:p w14:paraId="0597C8F1" w14:textId="77777777" w:rsidR="006C0C14" w:rsidRPr="002C2944" w:rsidRDefault="00072495" w:rsidP="00E77883">
      <w:pPr>
        <w:pStyle w:val="Standard"/>
        <w:widowControl/>
        <w:numPr>
          <w:ilvl w:val="0"/>
          <w:numId w:val="33"/>
        </w:numPr>
        <w:spacing w:line="360" w:lineRule="exact"/>
        <w:ind w:left="993"/>
        <w:rPr>
          <w:szCs w:val="24"/>
        </w:rPr>
      </w:pPr>
      <w:r w:rsidRPr="002C2944">
        <w:rPr>
          <w:rStyle w:val="WW-"/>
          <w:rFonts w:ascii="新細明體" w:eastAsia="新細明體" w:hAnsi="新細明體" w:cs="Arial"/>
          <w:szCs w:val="24"/>
        </w:rPr>
        <w:lastRenderedPageBreak/>
        <w:t>發掘之</w:t>
      </w:r>
      <w:proofErr w:type="gramStart"/>
      <w:r w:rsidRPr="002C2944">
        <w:rPr>
          <w:rStyle w:val="WW-"/>
          <w:rFonts w:ascii="新細明體" w:eastAsia="新細明體" w:hAnsi="新細明體" w:cs="Arial"/>
          <w:szCs w:val="24"/>
        </w:rPr>
        <w:t>起迄</w:t>
      </w:r>
      <w:proofErr w:type="gramEnd"/>
      <w:r w:rsidRPr="002C2944">
        <w:rPr>
          <w:rStyle w:val="WW-"/>
          <w:rFonts w:ascii="新細明體" w:eastAsia="新細明體" w:hAnsi="新細明體" w:cs="Arial"/>
          <w:szCs w:val="24"/>
        </w:rPr>
        <w:t>時間。</w:t>
      </w:r>
    </w:p>
    <w:p w14:paraId="2B047043" w14:textId="77777777" w:rsidR="006C0C14" w:rsidRPr="002C2944" w:rsidRDefault="00072495" w:rsidP="00E77883">
      <w:pPr>
        <w:pStyle w:val="Standard"/>
        <w:widowControl/>
        <w:numPr>
          <w:ilvl w:val="0"/>
          <w:numId w:val="33"/>
        </w:numPr>
        <w:spacing w:line="360" w:lineRule="exact"/>
        <w:ind w:left="993"/>
        <w:rPr>
          <w:szCs w:val="24"/>
        </w:rPr>
      </w:pPr>
      <w:r w:rsidRPr="002C2944">
        <w:rPr>
          <w:rStyle w:val="WW-"/>
          <w:rFonts w:ascii="新細明體" w:eastAsia="新細明體" w:hAnsi="新細明體" w:cs="Arial"/>
          <w:szCs w:val="24"/>
        </w:rPr>
        <w:t>出土遺物總說明，包括年代、所屬文化及類別。</w:t>
      </w:r>
    </w:p>
    <w:p w14:paraId="64538258" w14:textId="77777777" w:rsidR="006C0C14" w:rsidRPr="002C2944" w:rsidRDefault="00072495" w:rsidP="00E77883">
      <w:pPr>
        <w:pStyle w:val="Standard"/>
        <w:widowControl/>
        <w:numPr>
          <w:ilvl w:val="0"/>
          <w:numId w:val="33"/>
        </w:numPr>
        <w:spacing w:line="360" w:lineRule="exact"/>
        <w:ind w:left="993"/>
        <w:rPr>
          <w:szCs w:val="24"/>
        </w:rPr>
      </w:pPr>
      <w:r w:rsidRPr="002C2944">
        <w:rPr>
          <w:rStyle w:val="WW-"/>
          <w:rFonts w:ascii="新細明體" w:eastAsia="新細明體" w:hAnsi="新細明體" w:cs="Arial"/>
          <w:szCs w:val="24"/>
        </w:rPr>
        <w:t>出土遺物清單，包括類別、遺物名稱、單位、數量、重量、重要遺物分級建議及備註。</w:t>
      </w:r>
    </w:p>
    <w:p w14:paraId="72BC5929" w14:textId="77777777" w:rsidR="006C0C14" w:rsidRPr="002C2944" w:rsidRDefault="00072495" w:rsidP="00E77883">
      <w:pPr>
        <w:pStyle w:val="Standard"/>
        <w:widowControl/>
        <w:numPr>
          <w:ilvl w:val="0"/>
          <w:numId w:val="33"/>
        </w:numPr>
        <w:spacing w:line="360" w:lineRule="exact"/>
        <w:ind w:left="993"/>
        <w:rPr>
          <w:szCs w:val="24"/>
        </w:rPr>
      </w:pPr>
      <w:r w:rsidRPr="002C2944">
        <w:rPr>
          <w:rStyle w:val="WW-"/>
          <w:rFonts w:ascii="新細明體" w:eastAsia="新細明體" w:hAnsi="新細明體" w:cs="Arial"/>
          <w:szCs w:val="24"/>
        </w:rPr>
        <w:t>保管之必要限制或注意事項。</w:t>
      </w:r>
    </w:p>
    <w:p w14:paraId="3EB56903" w14:textId="77777777" w:rsidR="006C0C14" w:rsidRPr="002C2944" w:rsidRDefault="00072495" w:rsidP="00E77883">
      <w:pPr>
        <w:pStyle w:val="Standard"/>
        <w:widowControl/>
        <w:numPr>
          <w:ilvl w:val="0"/>
          <w:numId w:val="33"/>
        </w:numPr>
        <w:spacing w:line="360" w:lineRule="exact"/>
        <w:ind w:left="993"/>
        <w:rPr>
          <w:szCs w:val="24"/>
        </w:rPr>
      </w:pPr>
      <w:r w:rsidRPr="002C2944">
        <w:rPr>
          <w:rStyle w:val="WW-"/>
          <w:rFonts w:ascii="新細明體" w:eastAsia="新細明體" w:hAnsi="新細明體" w:cs="Arial"/>
          <w:szCs w:val="24"/>
        </w:rPr>
        <w:t>其他相關事項。</w:t>
      </w:r>
    </w:p>
    <w:p w14:paraId="508A8050" w14:textId="77777777" w:rsidR="006C0C14" w:rsidRPr="002C2944" w:rsidRDefault="00072495" w:rsidP="00E77883">
      <w:pPr>
        <w:pStyle w:val="Standard"/>
        <w:widowControl/>
        <w:spacing w:before="120" w:line="360" w:lineRule="exact"/>
        <w:ind w:left="1281" w:hanging="1281"/>
        <w:jc w:val="both"/>
        <w:rPr>
          <w:szCs w:val="24"/>
        </w:rPr>
      </w:pPr>
      <w:r w:rsidRPr="002C2944">
        <w:rPr>
          <w:rStyle w:val="WW-"/>
          <w:rFonts w:ascii="新細明體" w:eastAsia="新細明體" w:hAnsi="新細明體" w:cs="Arial"/>
          <w:szCs w:val="24"/>
        </w:rPr>
        <w:t xml:space="preserve">第11條　</w:t>
      </w:r>
      <w:r w:rsidRPr="002C2944">
        <w:rPr>
          <w:rStyle w:val="WW-"/>
          <w:rFonts w:ascii="新細明體" w:eastAsia="新細明體" w:hAnsi="新細明體" w:cs="新細明體, PMingLiU"/>
          <w:szCs w:val="24"/>
        </w:rPr>
        <w:t xml:space="preserve">　</w:t>
      </w:r>
    </w:p>
    <w:p w14:paraId="6C69704D" w14:textId="77777777" w:rsidR="006C0C14" w:rsidRPr="002C2944" w:rsidRDefault="00072495" w:rsidP="00E77883">
      <w:pPr>
        <w:pStyle w:val="Standard"/>
        <w:widowControl/>
        <w:spacing w:line="360" w:lineRule="exact"/>
        <w:ind w:left="284"/>
        <w:jc w:val="both"/>
        <w:rPr>
          <w:szCs w:val="24"/>
        </w:rPr>
      </w:pPr>
      <w:r w:rsidRPr="002C2944">
        <w:rPr>
          <w:rStyle w:val="WW-"/>
          <w:rFonts w:ascii="新細明體" w:eastAsia="新細明體" w:hAnsi="新細明體" w:cs="Arial"/>
          <w:szCs w:val="24"/>
        </w:rPr>
        <w:t>考古遺址發掘有重大發現時，</w:t>
      </w:r>
      <w:r w:rsidRPr="00A814E9">
        <w:rPr>
          <w:rStyle w:val="WW-"/>
          <w:rFonts w:ascii="新細明體" w:eastAsia="新細明體" w:hAnsi="新細明體" w:cs="Arial"/>
          <w:szCs w:val="24"/>
          <w:shd w:val="pct15" w:color="auto" w:fill="FFFFFF"/>
        </w:rPr>
        <w:t>發掘者</w:t>
      </w:r>
      <w:r w:rsidRPr="002C2944">
        <w:rPr>
          <w:rStyle w:val="WW-"/>
          <w:rFonts w:ascii="新細明體" w:eastAsia="新細明體" w:hAnsi="新細明體" w:cs="Arial"/>
          <w:szCs w:val="24"/>
        </w:rPr>
        <w:t>應即報主管機關處理。</w:t>
      </w:r>
    </w:p>
    <w:p w14:paraId="240621C0" w14:textId="77777777" w:rsidR="006C0C14" w:rsidRPr="002C2944" w:rsidRDefault="00072495" w:rsidP="00E77883">
      <w:pPr>
        <w:pStyle w:val="Standard"/>
        <w:widowControl/>
        <w:spacing w:before="120" w:line="360" w:lineRule="exact"/>
        <w:ind w:left="1281" w:hanging="1281"/>
        <w:jc w:val="both"/>
        <w:rPr>
          <w:szCs w:val="24"/>
        </w:rPr>
      </w:pPr>
      <w:r w:rsidRPr="002C2944">
        <w:rPr>
          <w:rStyle w:val="WW-"/>
          <w:rFonts w:ascii="新細明體" w:eastAsia="新細明體" w:hAnsi="新細明體" w:cs="Arial"/>
          <w:szCs w:val="24"/>
        </w:rPr>
        <w:t xml:space="preserve">第12條　</w:t>
      </w:r>
      <w:r w:rsidRPr="002C2944">
        <w:rPr>
          <w:rStyle w:val="WW-"/>
          <w:rFonts w:ascii="新細明體" w:eastAsia="新細明體" w:hAnsi="新細明體" w:cs="新細明體, PMingLiU"/>
          <w:szCs w:val="24"/>
        </w:rPr>
        <w:t xml:space="preserve">　</w:t>
      </w:r>
    </w:p>
    <w:p w14:paraId="1A498C42" w14:textId="77777777" w:rsidR="006C0C14" w:rsidRPr="002C2944" w:rsidRDefault="00072495" w:rsidP="00E77883">
      <w:pPr>
        <w:pStyle w:val="Standard"/>
        <w:widowControl/>
        <w:spacing w:line="360" w:lineRule="exact"/>
        <w:ind w:left="283"/>
        <w:jc w:val="both"/>
        <w:rPr>
          <w:szCs w:val="24"/>
        </w:rPr>
      </w:pPr>
      <w:r w:rsidRPr="002C2944">
        <w:rPr>
          <w:rStyle w:val="WW-"/>
          <w:rFonts w:ascii="新細明體" w:eastAsia="新細明體" w:hAnsi="新細明體" w:cs="Arial"/>
          <w:szCs w:val="24"/>
        </w:rPr>
        <w:t>外國人依本法第五十二條但書規定，與國內學術或專業機構合作者，應由本國人擔任主持人。</w:t>
      </w:r>
    </w:p>
    <w:p w14:paraId="12967AB9" w14:textId="77777777" w:rsidR="006C0C14" w:rsidRPr="00A814E9" w:rsidRDefault="00072495" w:rsidP="00E77883">
      <w:pPr>
        <w:pStyle w:val="Standard"/>
        <w:widowControl/>
        <w:spacing w:line="360" w:lineRule="exact"/>
        <w:ind w:left="283"/>
        <w:rPr>
          <w:szCs w:val="24"/>
          <w:shd w:val="pct15" w:color="auto" w:fill="FFFFFF"/>
        </w:rPr>
      </w:pPr>
      <w:r w:rsidRPr="00A814E9">
        <w:rPr>
          <w:rStyle w:val="WW-"/>
          <w:rFonts w:ascii="新細明體" w:eastAsia="新細明體" w:hAnsi="新細明體" w:cs="Arial"/>
          <w:szCs w:val="24"/>
          <w:shd w:val="pct15" w:color="auto" w:fill="FFFFFF"/>
        </w:rPr>
        <w:t>前項主持人應檢附雙方合作意向書，向中央主管機關申請許可。</w:t>
      </w:r>
    </w:p>
    <w:p w14:paraId="31EECE45" w14:textId="77777777" w:rsidR="006C0C14" w:rsidRPr="00A814E9" w:rsidRDefault="00072495" w:rsidP="00E77883">
      <w:pPr>
        <w:pStyle w:val="Standard"/>
        <w:widowControl/>
        <w:spacing w:line="360" w:lineRule="exact"/>
        <w:ind w:left="283"/>
        <w:rPr>
          <w:szCs w:val="24"/>
          <w:shd w:val="pct15" w:color="auto" w:fill="FFFFFF"/>
        </w:rPr>
      </w:pPr>
      <w:r w:rsidRPr="00A814E9">
        <w:rPr>
          <w:rStyle w:val="WW-"/>
          <w:rFonts w:ascii="新細明體" w:eastAsia="新細明體" w:hAnsi="新細明體" w:cs="Arial"/>
          <w:szCs w:val="24"/>
          <w:shd w:val="pct15" w:color="auto" w:fill="FFFFFF"/>
        </w:rPr>
        <w:t>前項申請涉及發掘直轄市定、縣(市)定考古遺址者，應先依第三條規定送主管機關辦理。</w:t>
      </w:r>
    </w:p>
    <w:p w14:paraId="316BF659" w14:textId="77777777" w:rsidR="006C0C14" w:rsidRPr="002C2944" w:rsidRDefault="00072495" w:rsidP="00E77883">
      <w:pPr>
        <w:pStyle w:val="Standard"/>
        <w:widowControl/>
        <w:spacing w:line="360" w:lineRule="exact"/>
        <w:ind w:left="283"/>
        <w:rPr>
          <w:szCs w:val="24"/>
        </w:rPr>
      </w:pPr>
      <w:r w:rsidRPr="002C2944">
        <w:rPr>
          <w:rStyle w:val="WW-"/>
          <w:rFonts w:ascii="新細明體" w:eastAsia="新細明體" w:hAnsi="新細明體" w:cs="Arial"/>
          <w:szCs w:val="24"/>
        </w:rPr>
        <w:t>發掘之出土遺物等原始資料應妥善維護，並不得攜出國境。</w:t>
      </w:r>
      <w:proofErr w:type="gramStart"/>
      <w:r w:rsidRPr="002C2944">
        <w:rPr>
          <w:rStyle w:val="WW-"/>
          <w:rFonts w:ascii="新細明體" w:eastAsia="新細明體" w:hAnsi="新細明體" w:cs="Arial"/>
          <w:szCs w:val="24"/>
        </w:rPr>
        <w:t>但有攜至</w:t>
      </w:r>
      <w:proofErr w:type="gramEnd"/>
      <w:r w:rsidRPr="002C2944">
        <w:rPr>
          <w:rStyle w:val="WW-"/>
          <w:rFonts w:ascii="新細明體" w:eastAsia="新細明體" w:hAnsi="新細明體" w:cs="Arial"/>
          <w:szCs w:val="24"/>
        </w:rPr>
        <w:t>國外進行實驗分析之必要，經中央主管機關核准者，不在此限。</w:t>
      </w:r>
    </w:p>
    <w:p w14:paraId="15D68089" w14:textId="77777777" w:rsidR="006C0C14" w:rsidRPr="002C2944" w:rsidRDefault="00072495" w:rsidP="00E77883">
      <w:pPr>
        <w:pStyle w:val="Standard"/>
        <w:widowControl/>
        <w:spacing w:before="120" w:line="360" w:lineRule="exact"/>
        <w:ind w:left="2" w:hanging="4"/>
        <w:jc w:val="both"/>
        <w:rPr>
          <w:szCs w:val="24"/>
        </w:rPr>
      </w:pPr>
      <w:r w:rsidRPr="002C2944">
        <w:rPr>
          <w:rStyle w:val="WW-"/>
          <w:rFonts w:ascii="新細明體" w:eastAsia="新細明體" w:hAnsi="新細明體" w:cs="Arial"/>
          <w:szCs w:val="24"/>
        </w:rPr>
        <w:t xml:space="preserve">第13條　</w:t>
      </w:r>
      <w:r w:rsidRPr="002C2944">
        <w:rPr>
          <w:rStyle w:val="WW-"/>
          <w:rFonts w:ascii="新細明體" w:eastAsia="新細明體" w:hAnsi="新細明體" w:cs="新細明體, PMingLiU"/>
          <w:szCs w:val="24"/>
        </w:rPr>
        <w:t xml:space="preserve">　</w:t>
      </w:r>
    </w:p>
    <w:p w14:paraId="610DD731" w14:textId="77777777" w:rsidR="006C0C14" w:rsidRPr="002C2944" w:rsidRDefault="00072495" w:rsidP="00E77883">
      <w:pPr>
        <w:pStyle w:val="Standard"/>
        <w:widowControl/>
        <w:spacing w:line="360" w:lineRule="exact"/>
        <w:ind w:left="284" w:hanging="3"/>
        <w:rPr>
          <w:szCs w:val="24"/>
        </w:rPr>
      </w:pPr>
      <w:r w:rsidRPr="002C2944">
        <w:rPr>
          <w:rStyle w:val="WW-"/>
          <w:rFonts w:ascii="新細明體" w:eastAsia="新細明體" w:hAnsi="新細明體" w:cs="Arial"/>
          <w:szCs w:val="24"/>
        </w:rPr>
        <w:t>主管機關得對考古遺址之發掘，進行檢查及監督；如發現有下列情形之一，得令其停止：</w:t>
      </w:r>
    </w:p>
    <w:p w14:paraId="6B056151" w14:textId="77777777" w:rsidR="006C0C14" w:rsidRPr="002C2944" w:rsidRDefault="00072495" w:rsidP="00E77883">
      <w:pPr>
        <w:pStyle w:val="Standard"/>
        <w:widowControl/>
        <w:numPr>
          <w:ilvl w:val="0"/>
          <w:numId w:val="34"/>
        </w:numPr>
        <w:spacing w:line="360" w:lineRule="exact"/>
        <w:ind w:left="993"/>
        <w:rPr>
          <w:szCs w:val="24"/>
        </w:rPr>
      </w:pPr>
      <w:r w:rsidRPr="002C2944">
        <w:rPr>
          <w:rStyle w:val="WW-"/>
          <w:rFonts w:ascii="新細明體" w:eastAsia="新細明體" w:hAnsi="新細明體" w:cs="Arial"/>
          <w:szCs w:val="24"/>
        </w:rPr>
        <w:t>屆滿發掘期限而未獲准延長者。</w:t>
      </w:r>
    </w:p>
    <w:p w14:paraId="48735D8E" w14:textId="77777777" w:rsidR="006C0C14" w:rsidRPr="002C2944" w:rsidRDefault="00072495" w:rsidP="00E77883">
      <w:pPr>
        <w:pStyle w:val="Standard"/>
        <w:widowControl/>
        <w:numPr>
          <w:ilvl w:val="0"/>
          <w:numId w:val="34"/>
        </w:numPr>
        <w:spacing w:line="360" w:lineRule="exact"/>
        <w:ind w:left="993"/>
        <w:rPr>
          <w:szCs w:val="24"/>
        </w:rPr>
      </w:pPr>
      <w:r w:rsidRPr="002C2944">
        <w:rPr>
          <w:rStyle w:val="WW-"/>
          <w:rFonts w:ascii="新細明體" w:eastAsia="新細明體" w:hAnsi="新細明體" w:cs="Arial"/>
          <w:szCs w:val="24"/>
        </w:rPr>
        <w:t>逾越發掘範圍者。</w:t>
      </w:r>
    </w:p>
    <w:p w14:paraId="0CD8F79E" w14:textId="77777777" w:rsidR="006C0C14" w:rsidRPr="002C2944" w:rsidRDefault="00072495" w:rsidP="00E77883">
      <w:pPr>
        <w:pStyle w:val="Standard"/>
        <w:widowControl/>
        <w:numPr>
          <w:ilvl w:val="0"/>
          <w:numId w:val="34"/>
        </w:numPr>
        <w:spacing w:line="360" w:lineRule="exact"/>
        <w:ind w:left="993"/>
        <w:rPr>
          <w:szCs w:val="24"/>
        </w:rPr>
      </w:pPr>
      <w:r w:rsidRPr="002C2944">
        <w:rPr>
          <w:rStyle w:val="WW-"/>
          <w:rFonts w:ascii="新細明體" w:eastAsia="新細明體" w:hAnsi="新細明體" w:cs="Arial"/>
          <w:szCs w:val="24"/>
        </w:rPr>
        <w:t>違反發掘程序或方法者。</w:t>
      </w:r>
    </w:p>
    <w:p w14:paraId="7AA01281" w14:textId="77777777" w:rsidR="006C0C14" w:rsidRPr="002C2944" w:rsidRDefault="00072495" w:rsidP="00E77883">
      <w:pPr>
        <w:pStyle w:val="Standard"/>
        <w:widowControl/>
        <w:numPr>
          <w:ilvl w:val="0"/>
          <w:numId w:val="34"/>
        </w:numPr>
        <w:spacing w:line="360" w:lineRule="exact"/>
        <w:ind w:left="993"/>
        <w:rPr>
          <w:szCs w:val="24"/>
        </w:rPr>
      </w:pPr>
      <w:r w:rsidRPr="002C2944">
        <w:rPr>
          <w:rStyle w:val="WW-"/>
          <w:rFonts w:ascii="新細明體" w:eastAsia="新細明體" w:hAnsi="新細明體" w:cs="Arial"/>
          <w:szCs w:val="24"/>
        </w:rPr>
        <w:t>其他經主管機關認定有必要者。</w:t>
      </w:r>
    </w:p>
    <w:p w14:paraId="69F2E236" w14:textId="77777777" w:rsidR="006C0C14" w:rsidRPr="002C2944" w:rsidRDefault="00072495" w:rsidP="00E77883">
      <w:pPr>
        <w:pStyle w:val="Standard"/>
        <w:widowControl/>
        <w:spacing w:before="120" w:line="360" w:lineRule="exact"/>
        <w:ind w:left="1281" w:hanging="1281"/>
        <w:jc w:val="both"/>
        <w:rPr>
          <w:szCs w:val="24"/>
        </w:rPr>
      </w:pPr>
      <w:r w:rsidRPr="002C2944">
        <w:rPr>
          <w:rStyle w:val="WW-"/>
          <w:rFonts w:ascii="新細明體" w:eastAsia="新細明體" w:hAnsi="新細明體" w:cs="Arial"/>
          <w:szCs w:val="24"/>
        </w:rPr>
        <w:t>第14條</w:t>
      </w:r>
      <w:r w:rsidRPr="002C2944">
        <w:rPr>
          <w:rStyle w:val="WW-"/>
          <w:rFonts w:ascii="新細明體" w:eastAsia="新細明體" w:hAnsi="新細明體" w:cs="新細明體, PMingLiU"/>
          <w:szCs w:val="24"/>
        </w:rPr>
        <w:t xml:space="preserve">　　</w:t>
      </w:r>
    </w:p>
    <w:p w14:paraId="25DD1B7E" w14:textId="77777777" w:rsidR="006C0C14" w:rsidRPr="002C2944" w:rsidRDefault="00072495" w:rsidP="00E77883">
      <w:pPr>
        <w:pStyle w:val="Standard"/>
        <w:widowControl/>
        <w:spacing w:line="360" w:lineRule="exact"/>
        <w:ind w:left="1280" w:hanging="996"/>
        <w:jc w:val="both"/>
        <w:rPr>
          <w:szCs w:val="24"/>
        </w:rPr>
      </w:pPr>
      <w:r w:rsidRPr="002C2944">
        <w:rPr>
          <w:rStyle w:val="WW-"/>
          <w:rFonts w:ascii="新細明體" w:eastAsia="新細明體" w:hAnsi="新細明體" w:cs="Arial"/>
          <w:szCs w:val="24"/>
        </w:rPr>
        <w:t>疑似考古遺址及列冊考古遺址之發掘，</w:t>
      </w:r>
      <w:proofErr w:type="gramStart"/>
      <w:r w:rsidRPr="002C2944">
        <w:rPr>
          <w:rStyle w:val="WW-"/>
          <w:rFonts w:ascii="新細明體" w:eastAsia="新細明體" w:hAnsi="新細明體" w:cs="Arial"/>
          <w:szCs w:val="24"/>
        </w:rPr>
        <w:t>準</w:t>
      </w:r>
      <w:proofErr w:type="gramEnd"/>
      <w:r w:rsidRPr="002C2944">
        <w:rPr>
          <w:rStyle w:val="WW-"/>
          <w:rFonts w:ascii="新細明體" w:eastAsia="新細明體" w:hAnsi="新細明體" w:cs="Arial"/>
          <w:szCs w:val="24"/>
        </w:rPr>
        <w:t>用本辦法規定。</w:t>
      </w:r>
    </w:p>
    <w:p w14:paraId="57E374FE" w14:textId="77777777" w:rsidR="00072495" w:rsidRPr="002C2944" w:rsidRDefault="00072495" w:rsidP="00E77883">
      <w:pPr>
        <w:pStyle w:val="Standard"/>
        <w:widowControl/>
        <w:spacing w:before="120" w:line="360" w:lineRule="exact"/>
        <w:ind w:left="1281" w:hanging="1281"/>
        <w:jc w:val="both"/>
        <w:rPr>
          <w:szCs w:val="24"/>
        </w:rPr>
      </w:pPr>
      <w:r w:rsidRPr="002C2944">
        <w:rPr>
          <w:rStyle w:val="WW-"/>
          <w:rFonts w:ascii="新細明體" w:eastAsia="新細明體" w:hAnsi="新細明體" w:cs="Arial"/>
          <w:szCs w:val="24"/>
        </w:rPr>
        <w:t xml:space="preserve">第15條　</w:t>
      </w:r>
      <w:r w:rsidRPr="002C2944">
        <w:rPr>
          <w:rStyle w:val="WW-"/>
          <w:rFonts w:ascii="新細明體" w:eastAsia="新細明體" w:hAnsi="新細明體" w:cs="新細明體, PMingLiU"/>
          <w:szCs w:val="24"/>
        </w:rPr>
        <w:t xml:space="preserve">　</w:t>
      </w:r>
    </w:p>
    <w:p w14:paraId="45FF7157" w14:textId="771D9EEB" w:rsidR="006C0C14" w:rsidRPr="0011065B" w:rsidRDefault="00072495" w:rsidP="00E77883">
      <w:pPr>
        <w:pStyle w:val="Standard"/>
        <w:widowControl/>
        <w:tabs>
          <w:tab w:val="center" w:pos="4890"/>
        </w:tabs>
        <w:spacing w:line="360" w:lineRule="exact"/>
        <w:ind w:left="1281" w:hanging="1281"/>
        <w:jc w:val="both"/>
        <w:rPr>
          <w:sz w:val="20"/>
          <w:szCs w:val="20"/>
        </w:rPr>
      </w:pPr>
      <w:r w:rsidRPr="002C2944">
        <w:rPr>
          <w:rStyle w:val="WW-"/>
          <w:rFonts w:ascii="新細明體" w:eastAsia="新細明體" w:hAnsi="新細明體" w:cs="Arial"/>
          <w:szCs w:val="24"/>
        </w:rPr>
        <w:t>本辦法自發布日施行。</w:t>
      </w:r>
      <w:r w:rsidR="002C2944" w:rsidRPr="002C2944">
        <w:rPr>
          <w:rStyle w:val="WW-"/>
          <w:rFonts w:ascii="新細明體" w:eastAsia="新細明體" w:hAnsi="新細明體" w:cs="Arial"/>
          <w:szCs w:val="24"/>
        </w:rPr>
        <w:tab/>
      </w:r>
    </w:p>
    <w:sectPr w:rsidR="006C0C14" w:rsidRPr="0011065B" w:rsidSect="007B0D03">
      <w:footerReference w:type="default" r:id="rId8"/>
      <w:pgSz w:w="11906" w:h="16838" w:code="9"/>
      <w:pgMar w:top="709" w:right="992" w:bottom="992"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7C3070" w14:textId="77777777" w:rsidR="00F53E84" w:rsidRDefault="00072495">
      <w:pPr>
        <w:rPr>
          <w:rFonts w:hint="eastAsia"/>
        </w:rPr>
      </w:pPr>
      <w:r>
        <w:separator/>
      </w:r>
    </w:p>
  </w:endnote>
  <w:endnote w:type="continuationSeparator" w:id="0">
    <w:p w14:paraId="0CFF29EA" w14:textId="77777777" w:rsidR="00F53E84" w:rsidRDefault="00072495">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font>
  <w:font w:name="新細明體">
    <w:altName w:val="PMingLiU"/>
    <w:panose1 w:val="02020500000000000000"/>
    <w:charset w:val="88"/>
    <w:family w:val="roman"/>
    <w:pitch w:val="variable"/>
    <w:sig w:usb0="A00002FF" w:usb1="28CFFCFA" w:usb2="00000016" w:usb3="00000000" w:csb0="00100001" w:csb1="00000000"/>
  </w:font>
  <w:font w:name="Lucida Sans">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新細明體, PMingLiU">
    <w:altName w:val="新細明體"/>
    <w:charset w:val="00"/>
    <w:family w:val="roman"/>
    <w:pitch w:val="variable"/>
  </w:font>
  <w:font w:name="F, 'Malgun Gothic Semilight'">
    <w:charset w:val="00"/>
    <w:family w:val="auto"/>
    <w:pitch w:val="variable"/>
  </w:font>
  <w:font w:name="Liberation Sans">
    <w:charset w:val="00"/>
    <w:family w:val="swiss"/>
    <w:pitch w:val="variable"/>
  </w:font>
  <w:font w:name="微軟正黑體">
    <w:panose1 w:val="020B0604030504040204"/>
    <w:charset w:val="88"/>
    <w:family w:val="swiss"/>
    <w:pitch w:val="variable"/>
    <w:sig w:usb0="000002A7" w:usb1="28CF4400" w:usb2="00000016" w:usb3="00000000" w:csb0="00100009" w:csb1="00000000"/>
  </w:font>
  <w:font w:name="Arial Unicode MS">
    <w:panose1 w:val="020B0604020202020204"/>
    <w:charset w:val="00"/>
    <w:family w:val="swiss"/>
    <w:pitch w:val="variable"/>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361450" w14:textId="4F9A2F23" w:rsidR="002F5828" w:rsidRDefault="00885DA0">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ABE846" w14:textId="77777777" w:rsidR="00F53E84" w:rsidRDefault="00072495">
      <w:pPr>
        <w:rPr>
          <w:rFonts w:hint="eastAsia"/>
        </w:rPr>
      </w:pPr>
      <w:r>
        <w:rPr>
          <w:color w:val="000000"/>
        </w:rPr>
        <w:separator/>
      </w:r>
    </w:p>
  </w:footnote>
  <w:footnote w:type="continuationSeparator" w:id="0">
    <w:p w14:paraId="436B6A60" w14:textId="77777777" w:rsidR="00F53E84" w:rsidRDefault="00072495">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F42D8"/>
    <w:multiLevelType w:val="multilevel"/>
    <w:tmpl w:val="1F4C1FAA"/>
    <w:styleLink w:val="WW8Num18"/>
    <w:lvl w:ilvl="0">
      <w:start w:val="1"/>
      <w:numFmt w:val="japaneseCounting"/>
      <w:lvlText w:val="%1、"/>
      <w:lvlJc w:val="left"/>
      <w:pPr>
        <w:ind w:left="748" w:hanging="510"/>
      </w:pPr>
      <w:rPr>
        <w:u w:val="single"/>
      </w:rPr>
    </w:lvl>
    <w:lvl w:ilvl="1">
      <w:start w:val="1"/>
      <w:numFmt w:val="ideographTraditional"/>
      <w:lvlText w:val="%2、"/>
      <w:lvlJc w:val="left"/>
      <w:pPr>
        <w:ind w:left="1198" w:hanging="480"/>
      </w:pPr>
    </w:lvl>
    <w:lvl w:ilvl="2">
      <w:start w:val="1"/>
      <w:numFmt w:val="lowerRoman"/>
      <w:lvlText w:val="%3."/>
      <w:lvlJc w:val="right"/>
      <w:pPr>
        <w:ind w:left="1678" w:hanging="480"/>
      </w:pPr>
    </w:lvl>
    <w:lvl w:ilvl="3">
      <w:start w:val="1"/>
      <w:numFmt w:val="decimal"/>
      <w:lvlText w:val="%4."/>
      <w:lvlJc w:val="left"/>
      <w:pPr>
        <w:ind w:left="2158" w:hanging="480"/>
      </w:pPr>
    </w:lvl>
    <w:lvl w:ilvl="4">
      <w:start w:val="1"/>
      <w:numFmt w:val="ideographTraditional"/>
      <w:lvlText w:val="%5、"/>
      <w:lvlJc w:val="left"/>
      <w:pPr>
        <w:ind w:left="2638" w:hanging="480"/>
      </w:pPr>
    </w:lvl>
    <w:lvl w:ilvl="5">
      <w:start w:val="1"/>
      <w:numFmt w:val="lowerRoman"/>
      <w:lvlText w:val="%6."/>
      <w:lvlJc w:val="right"/>
      <w:pPr>
        <w:ind w:left="3118" w:hanging="480"/>
      </w:pPr>
    </w:lvl>
    <w:lvl w:ilvl="6">
      <w:start w:val="1"/>
      <w:numFmt w:val="decimal"/>
      <w:lvlText w:val="%7."/>
      <w:lvlJc w:val="left"/>
      <w:pPr>
        <w:ind w:left="3598" w:hanging="480"/>
      </w:pPr>
    </w:lvl>
    <w:lvl w:ilvl="7">
      <w:start w:val="1"/>
      <w:numFmt w:val="ideographTraditional"/>
      <w:lvlText w:val="%8、"/>
      <w:lvlJc w:val="left"/>
      <w:pPr>
        <w:ind w:left="4078" w:hanging="480"/>
      </w:pPr>
    </w:lvl>
    <w:lvl w:ilvl="8">
      <w:start w:val="1"/>
      <w:numFmt w:val="lowerRoman"/>
      <w:lvlText w:val="%9."/>
      <w:lvlJc w:val="right"/>
      <w:pPr>
        <w:ind w:left="4558" w:hanging="480"/>
      </w:pPr>
    </w:lvl>
  </w:abstractNum>
  <w:abstractNum w:abstractNumId="1" w15:restartNumberingAfterBreak="0">
    <w:nsid w:val="061749E5"/>
    <w:multiLevelType w:val="multilevel"/>
    <w:tmpl w:val="430A6AA4"/>
    <w:styleLink w:val="WW8Num11"/>
    <w:lvl w:ilvl="0">
      <w:start w:val="1"/>
      <w:numFmt w:val="decimal"/>
      <w:lvlText w:val="(%1)"/>
      <w:lvlJc w:val="left"/>
      <w:pPr>
        <w:ind w:left="780" w:hanging="390"/>
      </w:pPr>
    </w:lvl>
    <w:lvl w:ilvl="1">
      <w:start w:val="1"/>
      <w:numFmt w:val="ideographTraditional"/>
      <w:lvlText w:val="%2、"/>
      <w:lvlJc w:val="left"/>
      <w:pPr>
        <w:ind w:left="1350" w:hanging="480"/>
      </w:pPr>
    </w:lvl>
    <w:lvl w:ilvl="2">
      <w:start w:val="1"/>
      <w:numFmt w:val="lowerRoman"/>
      <w:lvlText w:val="%3."/>
      <w:lvlJc w:val="right"/>
      <w:pPr>
        <w:ind w:left="1830" w:hanging="480"/>
      </w:pPr>
    </w:lvl>
    <w:lvl w:ilvl="3">
      <w:start w:val="1"/>
      <w:numFmt w:val="decimal"/>
      <w:lvlText w:val="%4."/>
      <w:lvlJc w:val="left"/>
      <w:pPr>
        <w:ind w:left="2310" w:hanging="480"/>
      </w:pPr>
    </w:lvl>
    <w:lvl w:ilvl="4">
      <w:start w:val="1"/>
      <w:numFmt w:val="ideographTraditional"/>
      <w:lvlText w:val="%5、"/>
      <w:lvlJc w:val="left"/>
      <w:pPr>
        <w:ind w:left="2790" w:hanging="480"/>
      </w:pPr>
    </w:lvl>
    <w:lvl w:ilvl="5">
      <w:start w:val="1"/>
      <w:numFmt w:val="lowerRoman"/>
      <w:lvlText w:val="%6."/>
      <w:lvlJc w:val="right"/>
      <w:pPr>
        <w:ind w:left="3270" w:hanging="480"/>
      </w:pPr>
    </w:lvl>
    <w:lvl w:ilvl="6">
      <w:start w:val="1"/>
      <w:numFmt w:val="decimal"/>
      <w:lvlText w:val="%7."/>
      <w:lvlJc w:val="left"/>
      <w:pPr>
        <w:ind w:left="3750" w:hanging="480"/>
      </w:pPr>
    </w:lvl>
    <w:lvl w:ilvl="7">
      <w:start w:val="1"/>
      <w:numFmt w:val="ideographTraditional"/>
      <w:lvlText w:val="%8、"/>
      <w:lvlJc w:val="left"/>
      <w:pPr>
        <w:ind w:left="4230" w:hanging="480"/>
      </w:pPr>
    </w:lvl>
    <w:lvl w:ilvl="8">
      <w:start w:val="1"/>
      <w:numFmt w:val="lowerRoman"/>
      <w:lvlText w:val="%9."/>
      <w:lvlJc w:val="right"/>
      <w:pPr>
        <w:ind w:left="4710" w:hanging="480"/>
      </w:pPr>
    </w:lvl>
  </w:abstractNum>
  <w:abstractNum w:abstractNumId="2" w15:restartNumberingAfterBreak="0">
    <w:nsid w:val="06B877C0"/>
    <w:multiLevelType w:val="multilevel"/>
    <w:tmpl w:val="913C1C44"/>
    <w:styleLink w:val="WW8Num15"/>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074215FB"/>
    <w:multiLevelType w:val="multilevel"/>
    <w:tmpl w:val="094C0438"/>
    <w:styleLink w:val="WW8Num5"/>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4" w15:restartNumberingAfterBreak="0">
    <w:nsid w:val="0A214503"/>
    <w:multiLevelType w:val="multilevel"/>
    <w:tmpl w:val="A5982342"/>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0B3E0759"/>
    <w:multiLevelType w:val="multilevel"/>
    <w:tmpl w:val="1FDEE7C6"/>
    <w:styleLink w:val="WW8Num19"/>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146E69F2"/>
    <w:multiLevelType w:val="multilevel"/>
    <w:tmpl w:val="6C126826"/>
    <w:styleLink w:val="WW8Num25"/>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1A4D3BF4"/>
    <w:multiLevelType w:val="multilevel"/>
    <w:tmpl w:val="8D348CA6"/>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15:restartNumberingAfterBreak="0">
    <w:nsid w:val="1B2048E0"/>
    <w:multiLevelType w:val="multilevel"/>
    <w:tmpl w:val="0068F254"/>
    <w:styleLink w:val="WW8Num1"/>
    <w:lvl w:ilvl="0">
      <w:start w:val="1"/>
      <w:numFmt w:val="japaneseCounting"/>
      <w:lvlText w:val="%1、"/>
      <w:lvlJc w:val="left"/>
      <w:pPr>
        <w:ind w:left="489" w:hanging="489"/>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15:restartNumberingAfterBreak="0">
    <w:nsid w:val="1C9818BC"/>
    <w:multiLevelType w:val="multilevel"/>
    <w:tmpl w:val="22E06090"/>
    <w:styleLink w:val="WW8Num6"/>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15:restartNumberingAfterBreak="0">
    <w:nsid w:val="1F246250"/>
    <w:multiLevelType w:val="multilevel"/>
    <w:tmpl w:val="CC600D26"/>
    <w:styleLink w:val="WW8Num2"/>
    <w:lvl w:ilvl="0">
      <w:start w:val="1"/>
      <w:numFmt w:val="decimal"/>
      <w:suff w:val="nothing"/>
      <w:lvlText w:val="%1、"/>
      <w:lvlJc w:val="left"/>
      <w:pPr>
        <w:ind w:left="622" w:hanging="480"/>
      </w:pPr>
      <w:rPr>
        <w:b w:val="0"/>
        <w:lang w:val="en-US"/>
      </w:rPr>
    </w:lvl>
    <w:lvl w:ilvl="1">
      <w:start w:val="1"/>
      <w:numFmt w:val="ideographTraditional"/>
      <w:lvlText w:val="%2、"/>
      <w:lvlJc w:val="left"/>
      <w:pPr>
        <w:ind w:left="1102" w:hanging="480"/>
      </w:pPr>
    </w:lvl>
    <w:lvl w:ilvl="2">
      <w:start w:val="1"/>
      <w:numFmt w:val="lowerRoman"/>
      <w:lvlText w:val="%3."/>
      <w:lvlJc w:val="right"/>
      <w:pPr>
        <w:ind w:left="1582" w:hanging="480"/>
      </w:pPr>
    </w:lvl>
    <w:lvl w:ilvl="3">
      <w:start w:val="1"/>
      <w:numFmt w:val="decimal"/>
      <w:lvlText w:val="%4."/>
      <w:lvlJc w:val="left"/>
      <w:pPr>
        <w:ind w:left="2062" w:hanging="480"/>
      </w:pPr>
    </w:lvl>
    <w:lvl w:ilvl="4">
      <w:start w:val="1"/>
      <w:numFmt w:val="ideographTraditional"/>
      <w:lvlText w:val="%5、"/>
      <w:lvlJc w:val="left"/>
      <w:pPr>
        <w:ind w:left="2542" w:hanging="480"/>
      </w:pPr>
    </w:lvl>
    <w:lvl w:ilvl="5">
      <w:start w:val="1"/>
      <w:numFmt w:val="lowerRoman"/>
      <w:lvlText w:val="%6."/>
      <w:lvlJc w:val="right"/>
      <w:pPr>
        <w:ind w:left="3022" w:hanging="480"/>
      </w:pPr>
    </w:lvl>
    <w:lvl w:ilvl="6">
      <w:start w:val="1"/>
      <w:numFmt w:val="decimal"/>
      <w:lvlText w:val="%7."/>
      <w:lvlJc w:val="left"/>
      <w:pPr>
        <w:ind w:left="3502" w:hanging="480"/>
      </w:pPr>
    </w:lvl>
    <w:lvl w:ilvl="7">
      <w:start w:val="1"/>
      <w:numFmt w:val="ideographTraditional"/>
      <w:lvlText w:val="%8、"/>
      <w:lvlJc w:val="left"/>
      <w:pPr>
        <w:ind w:left="3982" w:hanging="480"/>
      </w:pPr>
    </w:lvl>
    <w:lvl w:ilvl="8">
      <w:start w:val="1"/>
      <w:numFmt w:val="lowerRoman"/>
      <w:lvlText w:val="%9."/>
      <w:lvlJc w:val="right"/>
      <w:pPr>
        <w:ind w:left="4462" w:hanging="480"/>
      </w:pPr>
    </w:lvl>
  </w:abstractNum>
  <w:abstractNum w:abstractNumId="11" w15:restartNumberingAfterBreak="0">
    <w:nsid w:val="20005FCE"/>
    <w:multiLevelType w:val="multilevel"/>
    <w:tmpl w:val="44B43CA8"/>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 w15:restartNumberingAfterBreak="0">
    <w:nsid w:val="21916CC1"/>
    <w:multiLevelType w:val="multilevel"/>
    <w:tmpl w:val="100ACF3C"/>
    <w:styleLink w:val="WW8Num22"/>
    <w:lvl w:ilvl="0">
      <w:start w:val="1"/>
      <w:numFmt w:val="japaneseCounting"/>
      <w:lvlText w:val="%1、"/>
      <w:lvlJc w:val="left"/>
      <w:pPr>
        <w:ind w:left="2640" w:hanging="720"/>
      </w:pPr>
      <w:rPr>
        <w:rFonts w:cs="Arial"/>
      </w:rPr>
    </w:lvl>
    <w:lvl w:ilvl="1">
      <w:start w:val="1"/>
      <w:numFmt w:val="ideographTraditional"/>
      <w:lvlText w:val="%2、"/>
      <w:lvlJc w:val="left"/>
      <w:pPr>
        <w:ind w:left="2880" w:hanging="480"/>
      </w:pPr>
    </w:lvl>
    <w:lvl w:ilvl="2">
      <w:start w:val="1"/>
      <w:numFmt w:val="lowerRoman"/>
      <w:lvlText w:val="%3."/>
      <w:lvlJc w:val="right"/>
      <w:pPr>
        <w:ind w:left="3360" w:hanging="480"/>
      </w:pPr>
    </w:lvl>
    <w:lvl w:ilvl="3">
      <w:start w:val="1"/>
      <w:numFmt w:val="decimal"/>
      <w:lvlText w:val="%4."/>
      <w:lvlJc w:val="left"/>
      <w:pPr>
        <w:ind w:left="3840" w:hanging="480"/>
      </w:pPr>
    </w:lvl>
    <w:lvl w:ilvl="4">
      <w:start w:val="1"/>
      <w:numFmt w:val="ideographTraditional"/>
      <w:lvlText w:val="%5、"/>
      <w:lvlJc w:val="left"/>
      <w:pPr>
        <w:ind w:left="4320" w:hanging="480"/>
      </w:pPr>
    </w:lvl>
    <w:lvl w:ilvl="5">
      <w:start w:val="1"/>
      <w:numFmt w:val="lowerRoman"/>
      <w:lvlText w:val="%6."/>
      <w:lvlJc w:val="right"/>
      <w:pPr>
        <w:ind w:left="4800" w:hanging="480"/>
      </w:pPr>
    </w:lvl>
    <w:lvl w:ilvl="6">
      <w:start w:val="1"/>
      <w:numFmt w:val="decimal"/>
      <w:lvlText w:val="%7."/>
      <w:lvlJc w:val="left"/>
      <w:pPr>
        <w:ind w:left="5280" w:hanging="480"/>
      </w:pPr>
    </w:lvl>
    <w:lvl w:ilvl="7">
      <w:start w:val="1"/>
      <w:numFmt w:val="ideographTraditional"/>
      <w:lvlText w:val="%8、"/>
      <w:lvlJc w:val="left"/>
      <w:pPr>
        <w:ind w:left="5760" w:hanging="480"/>
      </w:pPr>
    </w:lvl>
    <w:lvl w:ilvl="8">
      <w:start w:val="1"/>
      <w:numFmt w:val="lowerRoman"/>
      <w:lvlText w:val="%9."/>
      <w:lvlJc w:val="right"/>
      <w:pPr>
        <w:ind w:left="6240" w:hanging="480"/>
      </w:pPr>
    </w:lvl>
  </w:abstractNum>
  <w:abstractNum w:abstractNumId="13" w15:restartNumberingAfterBreak="0">
    <w:nsid w:val="232C7CCB"/>
    <w:multiLevelType w:val="multilevel"/>
    <w:tmpl w:val="B9FA321E"/>
    <w:styleLink w:val="WW8Num14"/>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4" w15:restartNumberingAfterBreak="0">
    <w:nsid w:val="27AE7851"/>
    <w:multiLevelType w:val="multilevel"/>
    <w:tmpl w:val="27BEFBB6"/>
    <w:styleLink w:val="WW8Num10"/>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5" w15:restartNumberingAfterBreak="0">
    <w:nsid w:val="2BFA4D05"/>
    <w:multiLevelType w:val="multilevel"/>
    <w:tmpl w:val="03A4E272"/>
    <w:styleLink w:val="WW8Num20"/>
    <w:lvl w:ilvl="0">
      <w:start w:val="1"/>
      <w:numFmt w:val="japaneseCounting"/>
      <w:lvlText w:val="%1、"/>
      <w:lvlJc w:val="left"/>
      <w:pPr>
        <w:ind w:left="570" w:hanging="57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6" w15:restartNumberingAfterBreak="0">
    <w:nsid w:val="370B6940"/>
    <w:multiLevelType w:val="multilevel"/>
    <w:tmpl w:val="0E7AB9E0"/>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7" w15:restartNumberingAfterBreak="0">
    <w:nsid w:val="37B31FF0"/>
    <w:multiLevelType w:val="multilevel"/>
    <w:tmpl w:val="E812BE7C"/>
    <w:styleLink w:val="WW8Num4"/>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8" w15:restartNumberingAfterBreak="0">
    <w:nsid w:val="37B720DF"/>
    <w:multiLevelType w:val="multilevel"/>
    <w:tmpl w:val="75A83A46"/>
    <w:styleLink w:val="WW8Num27"/>
    <w:lvl w:ilvl="0">
      <w:start w:val="1"/>
      <w:numFmt w:val="decimal"/>
      <w:lvlText w:val="(%1)"/>
      <w:lvlJc w:val="left"/>
      <w:pPr>
        <w:ind w:left="720" w:hanging="360"/>
      </w:pPr>
    </w:lvl>
    <w:lvl w:ilvl="1">
      <w:start w:val="1"/>
      <w:numFmt w:val="ideographTraditional"/>
      <w:lvlText w:val="%2、"/>
      <w:lvlJc w:val="left"/>
      <w:pPr>
        <w:ind w:left="1320" w:hanging="480"/>
      </w:pPr>
    </w:lvl>
    <w:lvl w:ilvl="2">
      <w:start w:val="1"/>
      <w:numFmt w:val="lowerRoman"/>
      <w:lvlText w:val="%3."/>
      <w:lvlJc w:val="right"/>
      <w:pPr>
        <w:ind w:left="1800" w:hanging="480"/>
      </w:pPr>
    </w:lvl>
    <w:lvl w:ilvl="3">
      <w:start w:val="1"/>
      <w:numFmt w:val="decimal"/>
      <w:lvlText w:val="%4."/>
      <w:lvlJc w:val="left"/>
      <w:pPr>
        <w:ind w:left="2280" w:hanging="480"/>
      </w:pPr>
    </w:lvl>
    <w:lvl w:ilvl="4">
      <w:start w:val="1"/>
      <w:numFmt w:val="ideographTraditional"/>
      <w:lvlText w:val="%5、"/>
      <w:lvlJc w:val="left"/>
      <w:pPr>
        <w:ind w:left="2760" w:hanging="480"/>
      </w:pPr>
    </w:lvl>
    <w:lvl w:ilvl="5">
      <w:start w:val="1"/>
      <w:numFmt w:val="lowerRoman"/>
      <w:lvlText w:val="%6."/>
      <w:lvlJc w:val="right"/>
      <w:pPr>
        <w:ind w:left="3240" w:hanging="480"/>
      </w:pPr>
    </w:lvl>
    <w:lvl w:ilvl="6">
      <w:start w:val="1"/>
      <w:numFmt w:val="decimal"/>
      <w:lvlText w:val="%7."/>
      <w:lvlJc w:val="left"/>
      <w:pPr>
        <w:ind w:left="3720" w:hanging="480"/>
      </w:pPr>
    </w:lvl>
    <w:lvl w:ilvl="7">
      <w:start w:val="1"/>
      <w:numFmt w:val="ideographTraditional"/>
      <w:lvlText w:val="%8、"/>
      <w:lvlJc w:val="left"/>
      <w:pPr>
        <w:ind w:left="4200" w:hanging="480"/>
      </w:pPr>
    </w:lvl>
    <w:lvl w:ilvl="8">
      <w:start w:val="1"/>
      <w:numFmt w:val="lowerRoman"/>
      <w:lvlText w:val="%9."/>
      <w:lvlJc w:val="right"/>
      <w:pPr>
        <w:ind w:left="4680" w:hanging="480"/>
      </w:pPr>
    </w:lvl>
  </w:abstractNum>
  <w:abstractNum w:abstractNumId="19" w15:restartNumberingAfterBreak="0">
    <w:nsid w:val="433C21F6"/>
    <w:multiLevelType w:val="multilevel"/>
    <w:tmpl w:val="0D2A644C"/>
    <w:styleLink w:val="WW8Num24"/>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0" w15:restartNumberingAfterBreak="0">
    <w:nsid w:val="4A143557"/>
    <w:multiLevelType w:val="multilevel"/>
    <w:tmpl w:val="33583568"/>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1" w15:restartNumberingAfterBreak="0">
    <w:nsid w:val="4D6B3F9D"/>
    <w:multiLevelType w:val="multilevel"/>
    <w:tmpl w:val="5554EF6A"/>
    <w:styleLink w:val="WW8Num13"/>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2" w15:restartNumberingAfterBreak="0">
    <w:nsid w:val="4E15539C"/>
    <w:multiLevelType w:val="multilevel"/>
    <w:tmpl w:val="BBCCFA5E"/>
    <w:styleLink w:val="WW8Num12"/>
    <w:lvl w:ilvl="0">
      <w:start w:val="1"/>
      <w:numFmt w:val="decimal"/>
      <w:lvlText w:val="%1."/>
      <w:lvlJc w:val="left"/>
      <w:pPr>
        <w:ind w:left="390" w:hanging="39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3" w15:restartNumberingAfterBreak="0">
    <w:nsid w:val="57FF18FD"/>
    <w:multiLevelType w:val="multilevel"/>
    <w:tmpl w:val="A43AC014"/>
    <w:styleLink w:val="WW8Num9"/>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4" w15:restartNumberingAfterBreak="0">
    <w:nsid w:val="608525AD"/>
    <w:multiLevelType w:val="multilevel"/>
    <w:tmpl w:val="505643C4"/>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5" w15:restartNumberingAfterBreak="0">
    <w:nsid w:val="620D4876"/>
    <w:multiLevelType w:val="multilevel"/>
    <w:tmpl w:val="3B86F430"/>
    <w:styleLink w:val="WW8Num23"/>
    <w:lvl w:ilvl="0">
      <w:start w:val="1"/>
      <w:numFmt w:val="decimal"/>
      <w:lvlText w:val="%1."/>
      <w:lvlJc w:val="left"/>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6" w15:restartNumberingAfterBreak="0">
    <w:nsid w:val="640B4AAE"/>
    <w:multiLevelType w:val="multilevel"/>
    <w:tmpl w:val="7D383264"/>
    <w:styleLink w:val="WW8Num3"/>
    <w:lvl w:ilvl="0">
      <w:start w:val="1"/>
      <w:numFmt w:val="decimal"/>
      <w:lvlText w:val="%1、"/>
      <w:lvlJc w:val="left"/>
      <w:pPr>
        <w:ind w:left="510" w:hanging="51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7" w15:restartNumberingAfterBreak="0">
    <w:nsid w:val="68653AAD"/>
    <w:multiLevelType w:val="multilevel"/>
    <w:tmpl w:val="71E4BAE8"/>
    <w:styleLink w:val="WW8Num16"/>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8" w15:restartNumberingAfterBreak="0">
    <w:nsid w:val="6C6C2C93"/>
    <w:multiLevelType w:val="multilevel"/>
    <w:tmpl w:val="5D7CE49C"/>
    <w:styleLink w:val="WW8Num8"/>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9" w15:restartNumberingAfterBreak="0">
    <w:nsid w:val="6E4A513D"/>
    <w:multiLevelType w:val="multilevel"/>
    <w:tmpl w:val="CE5E9808"/>
    <w:styleLink w:val="WW8Num17"/>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0" w15:restartNumberingAfterBreak="0">
    <w:nsid w:val="6FB66F73"/>
    <w:multiLevelType w:val="multilevel"/>
    <w:tmpl w:val="9ED4BE7C"/>
    <w:styleLink w:val="WW8Num21"/>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1" w15:restartNumberingAfterBreak="0">
    <w:nsid w:val="715F2523"/>
    <w:multiLevelType w:val="multilevel"/>
    <w:tmpl w:val="C7E0898A"/>
    <w:styleLink w:val="WW8Num7"/>
    <w:lvl w:ilvl="0">
      <w:start w:val="1"/>
      <w:numFmt w:val="japaneseCounting"/>
      <w:lvlText w:val="%1、"/>
      <w:lvlJc w:val="left"/>
      <w:pPr>
        <w:ind w:left="510" w:hanging="51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2" w15:restartNumberingAfterBreak="0">
    <w:nsid w:val="7A1C4D6B"/>
    <w:multiLevelType w:val="multilevel"/>
    <w:tmpl w:val="8BB4EECE"/>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3" w15:restartNumberingAfterBreak="0">
    <w:nsid w:val="7AE74328"/>
    <w:multiLevelType w:val="multilevel"/>
    <w:tmpl w:val="2C54FEBE"/>
    <w:styleLink w:val="WW8Num26"/>
    <w:lvl w:ilvl="0">
      <w:start w:val="1"/>
      <w:numFmt w:val="japaneseCounting"/>
      <w:lvlText w:val="%1、"/>
      <w:lvlJc w:val="left"/>
      <w:pPr>
        <w:ind w:left="2400" w:hanging="480"/>
      </w:pPr>
      <w:rPr>
        <w:lang w:val="en-US"/>
      </w:rPr>
    </w:lvl>
    <w:lvl w:ilvl="1">
      <w:start w:val="1"/>
      <w:numFmt w:val="ideographTraditional"/>
      <w:lvlText w:val="%2、"/>
      <w:lvlJc w:val="left"/>
      <w:pPr>
        <w:ind w:left="2880" w:hanging="480"/>
      </w:pPr>
    </w:lvl>
    <w:lvl w:ilvl="2">
      <w:start w:val="1"/>
      <w:numFmt w:val="lowerRoman"/>
      <w:lvlText w:val="%3."/>
      <w:lvlJc w:val="right"/>
      <w:pPr>
        <w:ind w:left="3360" w:hanging="480"/>
      </w:pPr>
    </w:lvl>
    <w:lvl w:ilvl="3">
      <w:start w:val="1"/>
      <w:numFmt w:val="decimal"/>
      <w:lvlText w:val="%4."/>
      <w:lvlJc w:val="left"/>
      <w:pPr>
        <w:ind w:left="3840" w:hanging="480"/>
      </w:pPr>
    </w:lvl>
    <w:lvl w:ilvl="4">
      <w:start w:val="1"/>
      <w:numFmt w:val="ideographTraditional"/>
      <w:lvlText w:val="%5、"/>
      <w:lvlJc w:val="left"/>
      <w:pPr>
        <w:ind w:left="4320" w:hanging="480"/>
      </w:pPr>
    </w:lvl>
    <w:lvl w:ilvl="5">
      <w:start w:val="1"/>
      <w:numFmt w:val="lowerRoman"/>
      <w:lvlText w:val="%6."/>
      <w:lvlJc w:val="right"/>
      <w:pPr>
        <w:ind w:left="4800" w:hanging="480"/>
      </w:pPr>
    </w:lvl>
    <w:lvl w:ilvl="6">
      <w:start w:val="1"/>
      <w:numFmt w:val="decimal"/>
      <w:lvlText w:val="%7."/>
      <w:lvlJc w:val="left"/>
      <w:pPr>
        <w:ind w:left="5280" w:hanging="480"/>
      </w:pPr>
    </w:lvl>
    <w:lvl w:ilvl="7">
      <w:start w:val="1"/>
      <w:numFmt w:val="ideographTraditional"/>
      <w:lvlText w:val="%8、"/>
      <w:lvlJc w:val="left"/>
      <w:pPr>
        <w:ind w:left="5760" w:hanging="480"/>
      </w:pPr>
    </w:lvl>
    <w:lvl w:ilvl="8">
      <w:start w:val="1"/>
      <w:numFmt w:val="lowerRoman"/>
      <w:lvlText w:val="%9."/>
      <w:lvlJc w:val="right"/>
      <w:pPr>
        <w:ind w:left="6240" w:hanging="480"/>
      </w:pPr>
    </w:lvl>
  </w:abstractNum>
  <w:num w:numId="1">
    <w:abstractNumId w:val="8"/>
  </w:num>
  <w:num w:numId="2">
    <w:abstractNumId w:val="10"/>
  </w:num>
  <w:num w:numId="3">
    <w:abstractNumId w:val="26"/>
  </w:num>
  <w:num w:numId="4">
    <w:abstractNumId w:val="17"/>
  </w:num>
  <w:num w:numId="5">
    <w:abstractNumId w:val="3"/>
  </w:num>
  <w:num w:numId="6">
    <w:abstractNumId w:val="9"/>
  </w:num>
  <w:num w:numId="7">
    <w:abstractNumId w:val="31"/>
  </w:num>
  <w:num w:numId="8">
    <w:abstractNumId w:val="28"/>
  </w:num>
  <w:num w:numId="9">
    <w:abstractNumId w:val="23"/>
  </w:num>
  <w:num w:numId="10">
    <w:abstractNumId w:val="14"/>
  </w:num>
  <w:num w:numId="11">
    <w:abstractNumId w:val="1"/>
  </w:num>
  <w:num w:numId="12">
    <w:abstractNumId w:val="22"/>
  </w:num>
  <w:num w:numId="13">
    <w:abstractNumId w:val="21"/>
  </w:num>
  <w:num w:numId="14">
    <w:abstractNumId w:val="13"/>
  </w:num>
  <w:num w:numId="15">
    <w:abstractNumId w:val="2"/>
  </w:num>
  <w:num w:numId="16">
    <w:abstractNumId w:val="27"/>
  </w:num>
  <w:num w:numId="17">
    <w:abstractNumId w:val="29"/>
  </w:num>
  <w:num w:numId="18">
    <w:abstractNumId w:val="0"/>
  </w:num>
  <w:num w:numId="19">
    <w:abstractNumId w:val="5"/>
  </w:num>
  <w:num w:numId="20">
    <w:abstractNumId w:val="15"/>
  </w:num>
  <w:num w:numId="21">
    <w:abstractNumId w:val="30"/>
  </w:num>
  <w:num w:numId="22">
    <w:abstractNumId w:val="12"/>
  </w:num>
  <w:num w:numId="23">
    <w:abstractNumId w:val="25"/>
  </w:num>
  <w:num w:numId="24">
    <w:abstractNumId w:val="19"/>
  </w:num>
  <w:num w:numId="25">
    <w:abstractNumId w:val="6"/>
  </w:num>
  <w:num w:numId="26">
    <w:abstractNumId w:val="33"/>
  </w:num>
  <w:num w:numId="27">
    <w:abstractNumId w:val="18"/>
  </w:num>
  <w:num w:numId="28">
    <w:abstractNumId w:val="32"/>
  </w:num>
  <w:num w:numId="29">
    <w:abstractNumId w:val="7"/>
  </w:num>
  <w:num w:numId="30">
    <w:abstractNumId w:val="24"/>
  </w:num>
  <w:num w:numId="31">
    <w:abstractNumId w:val="16"/>
  </w:num>
  <w:num w:numId="32">
    <w:abstractNumId w:val="11"/>
  </w:num>
  <w:num w:numId="33">
    <w:abstractNumId w:val="4"/>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C14"/>
    <w:rsid w:val="00072495"/>
    <w:rsid w:val="0011065B"/>
    <w:rsid w:val="001441D8"/>
    <w:rsid w:val="002C2944"/>
    <w:rsid w:val="003462EE"/>
    <w:rsid w:val="006C0C14"/>
    <w:rsid w:val="007B0D03"/>
    <w:rsid w:val="007B6C9C"/>
    <w:rsid w:val="00A814E9"/>
    <w:rsid w:val="00B832B8"/>
    <w:rsid w:val="00D73795"/>
    <w:rsid w:val="00E77883"/>
    <w:rsid w:val="00F53E8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03ADE"/>
  <w15:docId w15:val="{F0D78A80-EA09-429E-9F95-11229EBCD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新細明體" w:hAnsi="Liberation Serif" w:cs="Lucida Sans"/>
        <w:kern w:val="3"/>
        <w:sz w:val="24"/>
        <w:szCs w:val="24"/>
        <w:lang w:val="en-US" w:eastAsia="zh-TW"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rPr>
      <w:rFonts w:ascii="Calibri" w:eastAsia="新細明體, PMingLiU" w:hAnsi="Calibri" w:cs="F, 'Malgun Gothic Semilight'"/>
      <w:szCs w:val="22"/>
      <w:lang w:bidi="ar-SA"/>
    </w:rPr>
  </w:style>
  <w:style w:type="paragraph" w:customStyle="1" w:styleId="Textbody">
    <w:name w:val="Text body"/>
    <w:basedOn w:val="Standard"/>
    <w:pPr>
      <w:spacing w:after="140" w:line="288" w:lineRule="auto"/>
    </w:pPr>
  </w:style>
  <w:style w:type="paragraph" w:customStyle="1" w:styleId="Heading">
    <w:name w:val="Heading"/>
    <w:basedOn w:val="Standard"/>
    <w:next w:val="Textbody"/>
    <w:pPr>
      <w:keepNext/>
      <w:spacing w:before="240" w:after="120"/>
    </w:pPr>
    <w:rPr>
      <w:rFonts w:ascii="Liberation Sans" w:eastAsia="微軟正黑體" w:hAnsi="Liberation Sans" w:cs="Arial Unicode MS"/>
      <w:sz w:val="28"/>
      <w:szCs w:val="28"/>
    </w:rPr>
  </w:style>
  <w:style w:type="paragraph" w:styleId="a3">
    <w:name w:val="List"/>
    <w:basedOn w:val="Textbody"/>
    <w:rPr>
      <w:rFonts w:cs="Arial Unicode MS"/>
    </w:rPr>
  </w:style>
  <w:style w:type="paragraph" w:styleId="a4">
    <w:name w:val="caption"/>
    <w:basedOn w:val="Standard"/>
    <w:pPr>
      <w:suppressLineNumbers/>
      <w:spacing w:before="120" w:after="120"/>
    </w:pPr>
    <w:rPr>
      <w:rFonts w:cs="Arial Unicode MS"/>
      <w:i/>
      <w:iCs/>
      <w:szCs w:val="24"/>
    </w:rPr>
  </w:style>
  <w:style w:type="paragraph" w:customStyle="1" w:styleId="Index">
    <w:name w:val="Index"/>
    <w:basedOn w:val="Standard"/>
    <w:pPr>
      <w:suppressLineNumbers/>
    </w:pPr>
    <w:rPr>
      <w:rFonts w:cs="Arial Unicode MS"/>
    </w:rPr>
  </w:style>
  <w:style w:type="paragraph" w:styleId="a5">
    <w:name w:val="List Paragraph"/>
    <w:basedOn w:val="Standard"/>
    <w:pPr>
      <w:ind w:left="480"/>
    </w:pPr>
  </w:style>
  <w:style w:type="paragraph" w:customStyle="1" w:styleId="1">
    <w:name w:val="清單段落1"/>
    <w:basedOn w:val="Standard"/>
    <w:pPr>
      <w:ind w:left="480"/>
    </w:pPr>
    <w:rPr>
      <w:rFonts w:ascii="Times New Roman" w:eastAsia="Times New Roman" w:hAnsi="Times New Roman" w:cs="Times New Roman"/>
      <w:szCs w:val="24"/>
    </w:rPr>
  </w:style>
  <w:style w:type="paragraph" w:styleId="a6">
    <w:name w:val="Balloon Text"/>
    <w:basedOn w:val="Standard"/>
    <w:rPr>
      <w:rFonts w:ascii="Calibri Light" w:eastAsia="Calibri Light" w:hAnsi="Calibri Light" w:cs="Calibri Light"/>
      <w:sz w:val="18"/>
      <w:szCs w:val="18"/>
    </w:rPr>
  </w:style>
  <w:style w:type="paragraph" w:customStyle="1" w:styleId="TableContents">
    <w:name w:val="Table Contents"/>
    <w:basedOn w:val="Standard"/>
    <w:pPr>
      <w:suppressLineNumbers/>
    </w:pPr>
  </w:style>
  <w:style w:type="paragraph" w:customStyle="1" w:styleId="HeaderandFooter">
    <w:name w:val="Header and Footer"/>
    <w:basedOn w:val="Standard"/>
    <w:pPr>
      <w:suppressLineNumbers/>
      <w:tabs>
        <w:tab w:val="center" w:pos="4819"/>
        <w:tab w:val="right" w:pos="9638"/>
      </w:tabs>
    </w:pPr>
  </w:style>
  <w:style w:type="paragraph" w:styleId="a7">
    <w:name w:val="header"/>
    <w:basedOn w:val="Textbody"/>
    <w:pPr>
      <w:tabs>
        <w:tab w:val="center" w:pos="4153"/>
        <w:tab w:val="right" w:pos="8306"/>
      </w:tabs>
      <w:suppressAutoHyphens w:val="0"/>
      <w:snapToGrid w:val="0"/>
    </w:pPr>
    <w:rPr>
      <w:sz w:val="20"/>
      <w:szCs w:val="20"/>
    </w:rPr>
  </w:style>
  <w:style w:type="paragraph" w:styleId="a8">
    <w:name w:val="footer"/>
    <w:basedOn w:val="Textbody"/>
    <w:uiPriority w:val="99"/>
    <w:pPr>
      <w:tabs>
        <w:tab w:val="center" w:pos="4153"/>
        <w:tab w:val="right" w:pos="8306"/>
      </w:tabs>
      <w:suppressAutoHyphens w:val="0"/>
      <w:snapToGrid w:val="0"/>
    </w:pPr>
    <w:rPr>
      <w:sz w:val="20"/>
      <w:szCs w:val="20"/>
    </w:rPr>
  </w:style>
  <w:style w:type="paragraph" w:customStyle="1" w:styleId="Default">
    <w:name w:val="Default"/>
    <w:pPr>
      <w:suppressAutoHyphens/>
      <w:autoSpaceDE w:val="0"/>
    </w:pPr>
    <w:rPr>
      <w:rFonts w:ascii="標楷體" w:eastAsia="標楷體" w:hAnsi="標楷體" w:cs="標楷體"/>
      <w:color w:val="000000"/>
      <w:lang w:bidi="ar-SA"/>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b w:val="0"/>
      <w:lang w:val="en-US"/>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u w:val="single"/>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cs="Arial"/>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lang w:val="en-US"/>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
    <w:name w:val="WW-預設段落字型"/>
  </w:style>
  <w:style w:type="character" w:customStyle="1" w:styleId="a9">
    <w:name w:val="註解方塊文字 字元"/>
    <w:rPr>
      <w:rFonts w:ascii="Calibri Light" w:eastAsia="新細明體, PMingLiU" w:hAnsi="Calibri Light" w:cs="F, 'Malgun Gothic Semilight'"/>
      <w:sz w:val="18"/>
      <w:szCs w:val="18"/>
    </w:rPr>
  </w:style>
  <w:style w:type="character" w:customStyle="1" w:styleId="NumberingSymbols">
    <w:name w:val="Numbering Symbols"/>
  </w:style>
  <w:style w:type="character" w:customStyle="1" w:styleId="aa">
    <w:name w:val="頁首 字元"/>
    <w:rPr>
      <w:sz w:val="20"/>
      <w:szCs w:val="20"/>
    </w:rPr>
  </w:style>
  <w:style w:type="character" w:customStyle="1" w:styleId="ab">
    <w:name w:val="頁尾 字元"/>
    <w:uiPriority w:val="99"/>
    <w:rPr>
      <w:sz w:val="20"/>
      <w:szCs w:val="20"/>
    </w:rPr>
  </w:style>
  <w:style w:type="character" w:customStyle="1" w:styleId="ac">
    <w:name w:val="清單段落 字元"/>
  </w:style>
  <w:style w:type="numbering" w:customStyle="1" w:styleId="WW8Num1">
    <w:name w:val="WW8Num1"/>
    <w:basedOn w:val="a2"/>
    <w:pPr>
      <w:numPr>
        <w:numId w:val="1"/>
      </w:numPr>
    </w:pPr>
  </w:style>
  <w:style w:type="numbering" w:customStyle="1" w:styleId="WW8Num2">
    <w:name w:val="WW8Num2"/>
    <w:basedOn w:val="a2"/>
    <w:pPr>
      <w:numPr>
        <w:numId w:val="2"/>
      </w:numPr>
    </w:pPr>
  </w:style>
  <w:style w:type="numbering" w:customStyle="1" w:styleId="WW8Num3">
    <w:name w:val="WW8Num3"/>
    <w:basedOn w:val="a2"/>
    <w:pPr>
      <w:numPr>
        <w:numId w:val="3"/>
      </w:numPr>
    </w:pPr>
  </w:style>
  <w:style w:type="numbering" w:customStyle="1" w:styleId="WW8Num4">
    <w:name w:val="WW8Num4"/>
    <w:basedOn w:val="a2"/>
    <w:pPr>
      <w:numPr>
        <w:numId w:val="4"/>
      </w:numPr>
    </w:pPr>
  </w:style>
  <w:style w:type="numbering" w:customStyle="1" w:styleId="WW8Num5">
    <w:name w:val="WW8Num5"/>
    <w:basedOn w:val="a2"/>
    <w:pPr>
      <w:numPr>
        <w:numId w:val="5"/>
      </w:numPr>
    </w:pPr>
  </w:style>
  <w:style w:type="numbering" w:customStyle="1" w:styleId="WW8Num6">
    <w:name w:val="WW8Num6"/>
    <w:basedOn w:val="a2"/>
    <w:pPr>
      <w:numPr>
        <w:numId w:val="6"/>
      </w:numPr>
    </w:pPr>
  </w:style>
  <w:style w:type="numbering" w:customStyle="1" w:styleId="WW8Num7">
    <w:name w:val="WW8Num7"/>
    <w:basedOn w:val="a2"/>
    <w:pPr>
      <w:numPr>
        <w:numId w:val="7"/>
      </w:numPr>
    </w:pPr>
  </w:style>
  <w:style w:type="numbering" w:customStyle="1" w:styleId="WW8Num8">
    <w:name w:val="WW8Num8"/>
    <w:basedOn w:val="a2"/>
    <w:pPr>
      <w:numPr>
        <w:numId w:val="8"/>
      </w:numPr>
    </w:pPr>
  </w:style>
  <w:style w:type="numbering" w:customStyle="1" w:styleId="WW8Num9">
    <w:name w:val="WW8Num9"/>
    <w:basedOn w:val="a2"/>
    <w:pPr>
      <w:numPr>
        <w:numId w:val="9"/>
      </w:numPr>
    </w:pPr>
  </w:style>
  <w:style w:type="numbering" w:customStyle="1" w:styleId="WW8Num10">
    <w:name w:val="WW8Num10"/>
    <w:basedOn w:val="a2"/>
    <w:pPr>
      <w:numPr>
        <w:numId w:val="10"/>
      </w:numPr>
    </w:pPr>
  </w:style>
  <w:style w:type="numbering" w:customStyle="1" w:styleId="WW8Num11">
    <w:name w:val="WW8Num11"/>
    <w:basedOn w:val="a2"/>
    <w:pPr>
      <w:numPr>
        <w:numId w:val="11"/>
      </w:numPr>
    </w:pPr>
  </w:style>
  <w:style w:type="numbering" w:customStyle="1" w:styleId="WW8Num12">
    <w:name w:val="WW8Num12"/>
    <w:basedOn w:val="a2"/>
    <w:pPr>
      <w:numPr>
        <w:numId w:val="12"/>
      </w:numPr>
    </w:pPr>
  </w:style>
  <w:style w:type="numbering" w:customStyle="1" w:styleId="WW8Num13">
    <w:name w:val="WW8Num13"/>
    <w:basedOn w:val="a2"/>
    <w:pPr>
      <w:numPr>
        <w:numId w:val="13"/>
      </w:numPr>
    </w:pPr>
  </w:style>
  <w:style w:type="numbering" w:customStyle="1" w:styleId="WW8Num14">
    <w:name w:val="WW8Num14"/>
    <w:basedOn w:val="a2"/>
    <w:pPr>
      <w:numPr>
        <w:numId w:val="14"/>
      </w:numPr>
    </w:pPr>
  </w:style>
  <w:style w:type="numbering" w:customStyle="1" w:styleId="WW8Num15">
    <w:name w:val="WW8Num15"/>
    <w:basedOn w:val="a2"/>
    <w:pPr>
      <w:numPr>
        <w:numId w:val="15"/>
      </w:numPr>
    </w:pPr>
  </w:style>
  <w:style w:type="numbering" w:customStyle="1" w:styleId="WW8Num16">
    <w:name w:val="WW8Num16"/>
    <w:basedOn w:val="a2"/>
    <w:pPr>
      <w:numPr>
        <w:numId w:val="16"/>
      </w:numPr>
    </w:pPr>
  </w:style>
  <w:style w:type="numbering" w:customStyle="1" w:styleId="WW8Num17">
    <w:name w:val="WW8Num17"/>
    <w:basedOn w:val="a2"/>
    <w:pPr>
      <w:numPr>
        <w:numId w:val="17"/>
      </w:numPr>
    </w:pPr>
  </w:style>
  <w:style w:type="numbering" w:customStyle="1" w:styleId="WW8Num18">
    <w:name w:val="WW8Num18"/>
    <w:basedOn w:val="a2"/>
    <w:pPr>
      <w:numPr>
        <w:numId w:val="18"/>
      </w:numPr>
    </w:pPr>
  </w:style>
  <w:style w:type="numbering" w:customStyle="1" w:styleId="WW8Num19">
    <w:name w:val="WW8Num19"/>
    <w:basedOn w:val="a2"/>
    <w:pPr>
      <w:numPr>
        <w:numId w:val="19"/>
      </w:numPr>
    </w:pPr>
  </w:style>
  <w:style w:type="numbering" w:customStyle="1" w:styleId="WW8Num20">
    <w:name w:val="WW8Num20"/>
    <w:basedOn w:val="a2"/>
    <w:pPr>
      <w:numPr>
        <w:numId w:val="20"/>
      </w:numPr>
    </w:pPr>
  </w:style>
  <w:style w:type="numbering" w:customStyle="1" w:styleId="WW8Num21">
    <w:name w:val="WW8Num21"/>
    <w:basedOn w:val="a2"/>
    <w:pPr>
      <w:numPr>
        <w:numId w:val="21"/>
      </w:numPr>
    </w:pPr>
  </w:style>
  <w:style w:type="numbering" w:customStyle="1" w:styleId="WW8Num22">
    <w:name w:val="WW8Num22"/>
    <w:basedOn w:val="a2"/>
    <w:pPr>
      <w:numPr>
        <w:numId w:val="22"/>
      </w:numPr>
    </w:pPr>
  </w:style>
  <w:style w:type="numbering" w:customStyle="1" w:styleId="WW8Num23">
    <w:name w:val="WW8Num23"/>
    <w:basedOn w:val="a2"/>
    <w:pPr>
      <w:numPr>
        <w:numId w:val="23"/>
      </w:numPr>
    </w:pPr>
  </w:style>
  <w:style w:type="numbering" w:customStyle="1" w:styleId="WW8Num24">
    <w:name w:val="WW8Num24"/>
    <w:basedOn w:val="a2"/>
    <w:pPr>
      <w:numPr>
        <w:numId w:val="24"/>
      </w:numPr>
    </w:pPr>
  </w:style>
  <w:style w:type="numbering" w:customStyle="1" w:styleId="WW8Num25">
    <w:name w:val="WW8Num25"/>
    <w:basedOn w:val="a2"/>
    <w:pPr>
      <w:numPr>
        <w:numId w:val="25"/>
      </w:numPr>
    </w:pPr>
  </w:style>
  <w:style w:type="numbering" w:customStyle="1" w:styleId="WW8Num26">
    <w:name w:val="WW8Num26"/>
    <w:basedOn w:val="a2"/>
    <w:pPr>
      <w:numPr>
        <w:numId w:val="26"/>
      </w:numPr>
    </w:pPr>
  </w:style>
  <w:style w:type="numbering" w:customStyle="1" w:styleId="WW8Num27">
    <w:name w:val="WW8Num27"/>
    <w:basedOn w:val="a2"/>
    <w:pPr>
      <w:numPr>
        <w:numId w:val="2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654BD7-20F5-40C1-94E0-C1C1740CE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304</Words>
  <Characters>1736</Characters>
  <Application>Microsoft Office Word</Application>
  <DocSecurity>0</DocSecurity>
  <Lines>14</Lines>
  <Paragraphs>4</Paragraphs>
  <ScaleCrop>false</ScaleCrop>
  <Company/>
  <LinksUpToDate>false</LinksUpToDate>
  <CharactersWithSpaces>2036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柯勝釗</dc:creator>
  <cp:lastModifiedBy>施存謙</cp:lastModifiedBy>
  <cp:revision>10</cp:revision>
  <cp:lastPrinted>2021-01-06T03:39:00Z</cp:lastPrinted>
  <dcterms:created xsi:type="dcterms:W3CDTF">2021-01-06T03:29:00Z</dcterms:created>
  <dcterms:modified xsi:type="dcterms:W3CDTF">2021-01-06T07:49:00Z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