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9316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傳統藝術民俗及有關文物登錄指定及廢止審查辦法</w:t>
      </w: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中華民國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94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年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12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月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30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日行政院文化建設委員會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文壹字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第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0942131399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號令發布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br/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中華民國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99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年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5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月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31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日行政院文化建設委員會會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授資籌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三字第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 xml:space="preserve"> 09920054646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號令修正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第一條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本辦法依文化資產保存法第五十九條第四項規定訂定之。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第二條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傳統藝術、民俗及有關文物之登錄，依下列基準為之：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一、傳統藝術：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藝術性：具有藝術價值者。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特殊性：構成傳統藝術之特殊藝能表現，其技法優秀者。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地方性：傳統藝術領域有價值與地位，並具有地方色彩或流派特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　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色顯著者。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二、民俗及有關文物：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傳統性：具有古昔生活傳承，風俗形成與發展者。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地方性：民俗其形成與發展，具地方特色及民間自主性，或與其他地區有顯著差異者。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歷史性：由歷史事件形成，具有紀念性意義者。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文化性：具有特殊生活文化價值者。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 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五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典範性：民俗活動具有示範作用，可顯示其特色者。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前項基準，直轄市、縣（市）主管機關得依地方特性，另訂補充規定。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第三條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重要傳統藝術、重要民俗及有關文物之指定，依下列基準為之：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一、重要傳統藝術：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反映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古昔常民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生活形態或娛樂類型，並在藝術或藝術史上具有重要價值者。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地方色彩或流派特色顯著，並在藝術或藝術史上具有價值且瀕臨失傳者。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傳統技藝或藝能，其結構技法，表現特別優秀，並在全國具有領先地位者。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二、重要民俗及有關文物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風俗習慣之歷史傳承與內容顯現人民生活文化典型特色者。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人民歲時重要風俗、信仰、節慶等儀式，顯示藝能特色者。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民俗藝能之發生與變遷，其構成上具有地方特色，且影響人民生活者。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第四條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傳統藝術、民俗及有關文物之登錄，依下列程序為之：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一、訪查。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二、審議並作成登錄處分之決定。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lastRenderedPageBreak/>
        <w:t>三、辦理公告。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四、報中央主管機關備查。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第五條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重要傳統藝術、重要民俗及有關文物之指定，依下列程序為之：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一、訪查。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二、審議並作成指定處分之決定。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三、辦理公告。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ind w:left="920" w:hangingChars="400" w:hanging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第六條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直轄市、縣（市）主管機關對審議登錄或廢止之傳統藝術、民俗及有關文物，應辦理公告。</w:t>
      </w: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　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　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前項公告，應載明下列事項：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一、名稱及分類。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二、保存者或保存團體之基本資料。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三、登錄或廢止理由及其法令依據。</w:t>
      </w:r>
    </w:p>
    <w:p w:rsidR="0019316A" w:rsidRPr="0019316A" w:rsidRDefault="0019316A" w:rsidP="0019316A">
      <w:pPr>
        <w:widowControl/>
        <w:ind w:firstLineChars="400" w:firstLine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四、公告日期及文號。</w:t>
      </w:r>
    </w:p>
    <w:p w:rsidR="0019316A" w:rsidRPr="0019316A" w:rsidRDefault="0019316A" w:rsidP="0019316A">
      <w:pPr>
        <w:widowControl/>
        <w:ind w:left="920" w:hangingChars="400" w:hanging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　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　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第一項公告，應揭示於各該主管機關公布欄三十日，並刊登政府公報、新聞紙或資訊網路。</w:t>
      </w:r>
    </w:p>
    <w:p w:rsidR="0019316A" w:rsidRPr="0019316A" w:rsidRDefault="0019316A" w:rsidP="0019316A">
      <w:pPr>
        <w:widowControl/>
        <w:ind w:left="920" w:hangingChars="400" w:hanging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　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　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中央主管機關對審議指定或廢止之重要傳統藝術、重要民俗及有關文物，其公告方式及載明事項，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準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用前三項規定。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第七條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傳統藝術、民俗及有關文物登錄之廢止，依下列基準為之：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一、傳統藝術：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藝術價值喪失。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傳統藝術之技藝與藝能已失傳。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藝術價值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減損且地方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色流派特色不明顯。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保存者死亡、身心障礙或保存團體解散而無法表現傳統藝術登錄之價值。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五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其他特殊事故。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二、民俗及相關文物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民俗及相關文物之內容已無法彰顯古昔生活傳承、風俗形成及發展。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民俗及相關文物原來具有之地方特色消失。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因歷史事件登錄為民俗及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相關文物者，其紀念性意義消失。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民俗及相關文物之內容逸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失，無法彰顯古昔人民生活文化價值。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五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民俗活動之典範性價值消失。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六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保存者死亡、身心障礙或保存團體解散而無法表現民俗及相關文物登錄之價值。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七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其他特殊事故。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第八條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重要傳統藝術、重要民俗及有關文物指定之廢止，依下列基準為之：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一、重要傳統藝術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反映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古昔常民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生活型態及娛樂類型之功能消失，且在藝術及藝術史上之價值減損。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重要傳統藝術之技藝與藝能已失傳。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保存者死亡、身心障礙或保存團體解散而無法表現傳統藝術指定之價值。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其他特殊事故。</w:t>
      </w:r>
    </w:p>
    <w:p w:rsidR="0019316A" w:rsidRPr="0019316A" w:rsidRDefault="0019316A" w:rsidP="0019316A">
      <w:pPr>
        <w:widowControl/>
        <w:ind w:leftChars="400" w:left="1420" w:hangingChars="200" w:hanging="46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二、重要民俗及相關文物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proofErr w:type="gramStart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一</w:t>
      </w:r>
      <w:proofErr w:type="gramEnd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反映人民生活文化典型特色之風俗習慣消失。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二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民歲時重要風俗、信仰、節慶等儀式中之藝能失傳。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三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民俗藝能之發生與變遷對人民的生活已無影響力。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四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保存者死亡、身心障礙或保存團體解散而無法表現民俗及相關文物指定之價值。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br/>
        <w:t>(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五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 xml:space="preserve">) 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其他特殊事故。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ind w:left="920" w:hangingChars="400" w:hanging="92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第九條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傳統藝術、民俗及有關文物之廢止或變更類別程序，由主管機關依登錄或指定程序辦理；其為直轄市、縣（市）登錄者，應報中央主管機關核定。</w:t>
      </w:r>
    </w:p>
    <w:p w:rsidR="0019316A" w:rsidRDefault="0019316A" w:rsidP="0019316A">
      <w:pPr>
        <w:widowControl/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</w:pPr>
    </w:p>
    <w:p w:rsidR="0019316A" w:rsidRPr="0019316A" w:rsidRDefault="0019316A" w:rsidP="0019316A">
      <w:pPr>
        <w:widowControl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第十條</w:t>
      </w:r>
      <w:r>
        <w:rPr>
          <w:rFonts w:ascii="Times New Roman" w:eastAsia="新細明體" w:hAnsi="Times New Roman" w:cs="Times New Roman" w:hint="eastAsia"/>
          <w:color w:val="000000"/>
          <w:kern w:val="0"/>
          <w:sz w:val="23"/>
          <w:szCs w:val="23"/>
        </w:rPr>
        <w:t xml:space="preserve">　</w:t>
      </w:r>
      <w:bookmarkStart w:id="0" w:name="_GoBack"/>
      <w:bookmarkEnd w:id="0"/>
      <w:r w:rsidRPr="0019316A"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  <w:t>本辦法自發布日施行。</w:t>
      </w:r>
    </w:p>
    <w:p w:rsidR="001027FC" w:rsidRPr="0019316A" w:rsidRDefault="001027FC"/>
    <w:sectPr w:rsidR="001027FC" w:rsidRPr="001931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A"/>
    <w:rsid w:val="001027FC"/>
    <w:rsid w:val="001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16A"/>
    <w:rPr>
      <w:b/>
      <w:bCs/>
    </w:rPr>
  </w:style>
  <w:style w:type="character" w:customStyle="1" w:styleId="apple-converted-space">
    <w:name w:val="apple-converted-space"/>
    <w:basedOn w:val="a0"/>
    <w:rsid w:val="0019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16A"/>
    <w:rPr>
      <w:b/>
      <w:bCs/>
    </w:rPr>
  </w:style>
  <w:style w:type="character" w:customStyle="1" w:styleId="apple-converted-space">
    <w:name w:val="apple-converted-space"/>
    <w:basedOn w:val="a0"/>
    <w:rsid w:val="0019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941">
                  <w:marLeft w:val="0"/>
                  <w:marRight w:val="0"/>
                  <w:marTop w:val="75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19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333333"/>
                        <w:right w:val="none" w:sz="0" w:space="0" w:color="auto"/>
                      </w:divBdr>
                      <w:divsChild>
                        <w:div w:id="12357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5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8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6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3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5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2012-10-23T07:47:00Z</dcterms:created>
  <dcterms:modified xsi:type="dcterms:W3CDTF">2012-10-23T07:51:00Z</dcterms:modified>
</cp:coreProperties>
</file>